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广东江门中医药职业学院2018年中高职贯通培养三二分段</w:t>
      </w:r>
    </w:p>
    <w:p>
      <w:pPr>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中药学专业人才培养方案</w:t>
      </w:r>
    </w:p>
    <w:p>
      <w:pPr>
        <w:rPr>
          <w:rFonts w:ascii="黑体" w:hAnsi="Times New Roman" w:eastAsia="黑体" w:cs="Times New Roman"/>
          <w:b/>
          <w:color w:val="auto"/>
          <w:sz w:val="32"/>
          <w:szCs w:val="32"/>
          <w:highlight w:val="none"/>
        </w:rPr>
      </w:pPr>
      <w:r>
        <w:rPr>
          <w:rFonts w:hint="eastAsia" w:ascii="宋体" w:hAnsi="宋体" w:eastAsia="宋体" w:cs="Times New Roman"/>
          <w:b/>
          <w:color w:val="auto"/>
          <w:sz w:val="24"/>
          <w:szCs w:val="24"/>
          <w:highlight w:val="none"/>
        </w:rPr>
        <w:t>一、专业名称及代码</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中职学段：中药（</w:t>
      </w:r>
      <w:r>
        <w:rPr>
          <w:rFonts w:hint="eastAsia" w:ascii="宋体" w:hAnsi="宋体" w:eastAsia="宋体" w:cs="Times New Roman"/>
          <w:color w:val="auto"/>
          <w:sz w:val="24"/>
          <w:szCs w:val="24"/>
          <w:highlight w:val="none"/>
          <w:lang w:val="en-US" w:eastAsia="zh-CN"/>
        </w:rPr>
        <w:t>720403</w:t>
      </w:r>
      <w:r>
        <w:rPr>
          <w:rFonts w:hint="eastAsia" w:ascii="宋体" w:hAnsi="宋体" w:eastAsia="宋体" w:cs="Times New Roman"/>
          <w:color w:val="auto"/>
          <w:sz w:val="24"/>
          <w:szCs w:val="24"/>
          <w:highlight w:val="none"/>
        </w:rPr>
        <w:t>）</w:t>
      </w:r>
    </w:p>
    <w:p>
      <w:pPr>
        <w:pStyle w:val="5"/>
        <w:spacing w:line="360" w:lineRule="auto"/>
        <w:ind w:firstLine="48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高职学段：中药学（</w:t>
      </w:r>
      <w:r>
        <w:rPr>
          <w:rFonts w:hint="eastAsia" w:ascii="宋体" w:hAnsi="宋体" w:eastAsia="宋体" w:cs="宋体"/>
          <w:color w:val="auto"/>
          <w:kern w:val="0"/>
          <w:sz w:val="24"/>
          <w:highlight w:val="none"/>
          <w:lang w:bidi="ar"/>
        </w:rPr>
        <w:t>520410</w:t>
      </w:r>
      <w:r>
        <w:rPr>
          <w:rFonts w:hint="eastAsia" w:ascii="宋体" w:hAnsi="宋体" w:eastAsia="宋体" w:cs="Times New Roman"/>
          <w:color w:val="auto"/>
          <w:sz w:val="24"/>
          <w:szCs w:val="24"/>
          <w:highlight w:val="none"/>
        </w:rPr>
        <w:t>)</w:t>
      </w:r>
    </w:p>
    <w:p>
      <w:pPr>
        <w:spacing w:line="500" w:lineRule="exact"/>
        <w:ind w:firstLine="241" w:firstLineChars="1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二、招生对象</w:t>
      </w:r>
    </w:p>
    <w:p>
      <w:pPr>
        <w:spacing w:line="500" w:lineRule="exact"/>
        <w:ind w:firstLine="482" w:firstLineChars="200"/>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中职学段：</w:t>
      </w:r>
      <w:r>
        <w:rPr>
          <w:rFonts w:hint="eastAsia" w:ascii="宋体" w:hAnsi="宋体" w:eastAsia="宋体" w:cs="Times New Roman"/>
          <w:color w:val="auto"/>
          <w:sz w:val="24"/>
          <w:szCs w:val="24"/>
          <w:highlight w:val="none"/>
        </w:rPr>
        <w:t>广东省户籍或符合各地“中考”报名条件的外省户籍应往届初中毕业生。</w:t>
      </w:r>
    </w:p>
    <w:p>
      <w:pPr>
        <w:spacing w:line="500" w:lineRule="exact"/>
        <w:ind w:firstLine="482" w:firstLineChars="200"/>
        <w:rPr>
          <w:rFonts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高职学段：</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广东省江门中医药学校中药专业</w:t>
      </w:r>
      <w:r>
        <w:rPr>
          <w:rFonts w:ascii="宋体" w:hAnsi="宋体" w:eastAsia="宋体" w:cs="Times New Roman"/>
          <w:color w:val="auto"/>
          <w:sz w:val="24"/>
          <w:szCs w:val="24"/>
          <w:highlight w:val="none"/>
        </w:rPr>
        <w:t>三二分段试点班</w:t>
      </w:r>
      <w:r>
        <w:rPr>
          <w:rFonts w:hint="eastAsia" w:ascii="宋体" w:hAnsi="宋体" w:eastAsia="宋体" w:cs="Times New Roman"/>
          <w:color w:val="auto"/>
          <w:sz w:val="24"/>
          <w:szCs w:val="24"/>
          <w:highlight w:val="none"/>
        </w:rPr>
        <w:t>中专毕业生。</w:t>
      </w:r>
    </w:p>
    <w:p>
      <w:pPr>
        <w:spacing w:line="500" w:lineRule="exact"/>
        <w:ind w:firstLine="241" w:firstLineChars="100"/>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三、基本学制与学历</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（一）学制：5年。</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（二）学历</w:t>
      </w:r>
    </w:p>
    <w:p>
      <w:pPr>
        <w:spacing w:line="500" w:lineRule="exact"/>
        <w:ind w:firstLine="482" w:firstLineChars="200"/>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中职学段</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颁发学历证书学校名称：广东省江门中医药学校。</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证书种类：全日制中等职业学校毕业证书。</w:t>
      </w:r>
    </w:p>
    <w:p>
      <w:pPr>
        <w:spacing w:line="500" w:lineRule="exact"/>
        <w:ind w:firstLine="482" w:firstLineChars="200"/>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高职学段</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颁发学历证书学校名称：广东江门中医药职业学院。</w:t>
      </w:r>
    </w:p>
    <w:p>
      <w:pPr>
        <w:spacing w:line="500" w:lineRule="exact"/>
        <w:ind w:firstLine="480" w:firstLineChars="200"/>
        <w:rPr>
          <w:rFonts w:hint="eastAsia" w:ascii="宋体" w:hAnsi="宋体" w:eastAsia="宋体" w:cs="Times New Roman"/>
          <w:b/>
          <w:color w:val="auto"/>
          <w:sz w:val="24"/>
          <w:szCs w:val="24"/>
          <w:highlight w:val="none"/>
        </w:rPr>
      </w:pPr>
      <w:r>
        <w:rPr>
          <w:rFonts w:hint="eastAsia" w:ascii="宋体" w:hAnsi="宋体" w:eastAsia="宋体" w:cs="Times New Roman"/>
          <w:color w:val="auto"/>
          <w:sz w:val="24"/>
          <w:szCs w:val="24"/>
          <w:highlight w:val="none"/>
        </w:rPr>
        <w:t>证书种类：全日制普通高等学校毕业证书。</w:t>
      </w:r>
    </w:p>
    <w:p>
      <w:pPr>
        <w:spacing w:line="500" w:lineRule="exact"/>
        <w:ind w:firstLine="241" w:firstLineChars="1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四、培养目标</w:t>
      </w:r>
    </w:p>
    <w:p>
      <w:pPr>
        <w:spacing w:line="500" w:lineRule="exact"/>
        <w:ind w:firstLine="57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（一）中职学段培养目标</w:t>
      </w:r>
    </w:p>
    <w:p>
      <w:pPr>
        <w:spacing w:line="500" w:lineRule="exact"/>
        <w:ind w:firstLine="480" w:firstLineChars="200"/>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培养与我国社会主义现代化建设要求相适应，德、智、体、美全面发展，具有良好的职业道德、人际交往与沟通能力，熟练掌握中药专业技能，具有一定的综合职业能力，能在各级各类医药卫生机构和行业从事中药调剂、中药销售</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中药质量检验、</w:t>
      </w:r>
      <w:r>
        <w:rPr>
          <w:rFonts w:ascii="宋体" w:hAnsi="宋体" w:eastAsia="宋体" w:cs="Times New Roman"/>
          <w:color w:val="auto"/>
          <w:sz w:val="24"/>
          <w:szCs w:val="24"/>
          <w:highlight w:val="none"/>
        </w:rPr>
        <w:t>中药</w:t>
      </w:r>
      <w:r>
        <w:rPr>
          <w:rFonts w:hint="eastAsia" w:ascii="宋体" w:hAnsi="宋体" w:eastAsia="宋体" w:cs="Times New Roman"/>
          <w:color w:val="auto"/>
          <w:sz w:val="24"/>
          <w:szCs w:val="24"/>
          <w:highlight w:val="none"/>
        </w:rPr>
        <w:t>用药</w:t>
      </w:r>
      <w:r>
        <w:rPr>
          <w:rFonts w:ascii="宋体" w:hAnsi="宋体" w:eastAsia="宋体" w:cs="Times New Roman"/>
          <w:color w:val="auto"/>
          <w:sz w:val="24"/>
          <w:szCs w:val="24"/>
          <w:highlight w:val="none"/>
        </w:rPr>
        <w:t>服务</w:t>
      </w:r>
      <w:r>
        <w:rPr>
          <w:rFonts w:hint="eastAsia" w:ascii="宋体" w:hAnsi="宋体" w:eastAsia="宋体" w:cs="Times New Roman"/>
          <w:color w:val="auto"/>
          <w:sz w:val="24"/>
          <w:szCs w:val="24"/>
          <w:highlight w:val="none"/>
        </w:rPr>
        <w:t>等中药岗位工作，具有职业生涯发展基础的技能型、应用型专业人员。</w:t>
      </w:r>
    </w:p>
    <w:p>
      <w:pPr>
        <w:spacing w:line="500" w:lineRule="exact"/>
        <w:ind w:firstLine="482" w:firstLineChars="200"/>
        <w:jc w:val="left"/>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（二）高职学段培养目标</w:t>
      </w:r>
    </w:p>
    <w:p>
      <w:pPr>
        <w:pStyle w:val="6"/>
        <w:spacing w:line="500" w:lineRule="exact"/>
        <w:ind w:firstLine="480"/>
        <w:rPr>
          <w:rFonts w:eastAsia="宋体" w:cs="Times New Roman"/>
          <w:color w:val="auto"/>
          <w:sz w:val="24"/>
          <w:szCs w:val="24"/>
          <w:highlight w:val="none"/>
        </w:rPr>
      </w:pPr>
      <w:r>
        <w:rPr>
          <w:rFonts w:hint="eastAsia" w:eastAsia="宋体" w:cs="Times New Roman"/>
          <w:color w:val="auto"/>
          <w:sz w:val="24"/>
          <w:szCs w:val="24"/>
          <w:highlight w:val="none"/>
        </w:rPr>
        <w:t>贯彻执行党和国家的教育方针和医药卫生工作方针，培养热爱祖国、拥护党的基本路线，德、智、技、体等全面发展，掌握从事中药行业实际工作的基本能力和基本技能；掌握中药调剂、中药检验、中药栽培、中药制药、中药营销和行业管理的基本知识;具备必备的科学文化知识；具备英语和计算机技术基础能力；具备从事中药栽培、鉴定、分离提取、炮制加工、制剂制备、质检和行业管理的基本技能，适应现代化发展需要的中药学高素质技能型专业人才。</w:t>
      </w:r>
    </w:p>
    <w:p>
      <w:pPr>
        <w:spacing w:line="500" w:lineRule="exact"/>
        <w:ind w:firstLine="241" w:firstLineChars="100"/>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五、就业面向：</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（一）中职学段面向职业范围</w:t>
      </w:r>
    </w:p>
    <w:p>
      <w:pPr>
        <w:spacing w:line="50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表1  中职学段面向职业范围</w:t>
      </w:r>
    </w:p>
    <w:tbl>
      <w:tblPr>
        <w:tblStyle w:val="3"/>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2273"/>
        <w:gridCol w:w="2383"/>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序号</w:t>
            </w:r>
          </w:p>
        </w:tc>
        <w:tc>
          <w:tcPr>
            <w:tcW w:w="2273"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对应职业（岗位）</w:t>
            </w:r>
          </w:p>
        </w:tc>
        <w:tc>
          <w:tcPr>
            <w:tcW w:w="2383"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专业（技能）方向</w:t>
            </w:r>
          </w:p>
        </w:tc>
        <w:tc>
          <w:tcPr>
            <w:tcW w:w="3664" w:type="dxa"/>
            <w:noWrap w:val="0"/>
            <w:vAlign w:val="center"/>
          </w:tcPr>
          <w:p>
            <w:pPr>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职业发展路径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2273"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医疗机构</w:t>
            </w:r>
          </w:p>
        </w:tc>
        <w:tc>
          <w:tcPr>
            <w:tcW w:w="2383"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中药调剂、中药养护、中药临方炮制</w:t>
            </w:r>
          </w:p>
        </w:tc>
        <w:tc>
          <w:tcPr>
            <w:tcW w:w="3664"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中药士、中药师、主管中药师等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2273"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药品生产企业 、中药饮片厂</w:t>
            </w:r>
          </w:p>
        </w:tc>
        <w:tc>
          <w:tcPr>
            <w:tcW w:w="2383" w:type="dxa"/>
            <w:noWrap w:val="0"/>
            <w:vAlign w:val="center"/>
          </w:tcPr>
          <w:p>
            <w:pPr>
              <w:rPr>
                <w:rFonts w:hint="eastAsia" w:ascii="宋体" w:hAnsi="宋体"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中药炮制加工、药品生产与管理、药品质量管理、物资供应、药品销售</w:t>
            </w:r>
          </w:p>
        </w:tc>
        <w:tc>
          <w:tcPr>
            <w:tcW w:w="3664"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1.中药炮制工、药物制剂工</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2.中药助理工程师、工程师 </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2273"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药品经营企业（医药公司、零售药店）</w:t>
            </w:r>
          </w:p>
        </w:tc>
        <w:tc>
          <w:tcPr>
            <w:tcW w:w="2383"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中药调剂、中药购销、中药验收、中药仓储管理、中药销售、中药临方炮制</w:t>
            </w:r>
          </w:p>
        </w:tc>
        <w:tc>
          <w:tcPr>
            <w:tcW w:w="3664" w:type="dxa"/>
            <w:noWrap w:val="0"/>
            <w:vAlign w:val="center"/>
          </w:tcPr>
          <w:p>
            <w:pPr>
              <w:numPr>
                <w:ilvl w:val="0"/>
                <w:numId w:val="1"/>
              </w:numPr>
              <w:ind w:left="360" w:hanging="36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中药士、中药师、主管中药师等</w:t>
            </w:r>
          </w:p>
          <w:p>
            <w:pPr>
              <w:numPr>
                <w:ilvl w:val="0"/>
                <w:numId w:val="1"/>
              </w:numPr>
              <w:ind w:left="360" w:hanging="36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执业中药师</w:t>
            </w:r>
          </w:p>
        </w:tc>
      </w:tr>
    </w:tbl>
    <w:p>
      <w:pPr>
        <w:ind w:firstLine="482" w:firstLineChars="200"/>
        <w:rPr>
          <w:rFonts w:hint="eastAsia" w:ascii="宋体" w:hAnsi="宋体" w:eastAsia="宋体" w:cs="Times New Roman"/>
          <w:b/>
          <w:color w:val="auto"/>
          <w:sz w:val="24"/>
          <w:szCs w:val="24"/>
          <w:highlight w:val="none"/>
        </w:rPr>
      </w:pP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（二）高职学段面向职业范围</w:t>
      </w:r>
    </w:p>
    <w:p>
      <w:pPr>
        <w:spacing w:line="50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表2  高职学段面向职业范围</w:t>
      </w:r>
    </w:p>
    <w:tbl>
      <w:tblPr>
        <w:tblStyle w:val="3"/>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2260"/>
        <w:gridCol w:w="2552"/>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序号</w:t>
            </w:r>
          </w:p>
        </w:tc>
        <w:tc>
          <w:tcPr>
            <w:tcW w:w="2260"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对应职业（岗位）</w:t>
            </w:r>
          </w:p>
        </w:tc>
        <w:tc>
          <w:tcPr>
            <w:tcW w:w="2552"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专业（技能）方向</w:t>
            </w:r>
          </w:p>
        </w:tc>
        <w:tc>
          <w:tcPr>
            <w:tcW w:w="3508" w:type="dxa"/>
            <w:noWrap w:val="0"/>
            <w:vAlign w:val="center"/>
          </w:tcPr>
          <w:p>
            <w:pPr>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职业发展路径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226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医疗机构</w:t>
            </w:r>
          </w:p>
        </w:tc>
        <w:tc>
          <w:tcPr>
            <w:tcW w:w="2552"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中药调剂、中药仓储管理、中药及相关制剂质量检验、中药用药咨询服务、中药临方炮制</w:t>
            </w:r>
          </w:p>
        </w:tc>
        <w:tc>
          <w:tcPr>
            <w:tcW w:w="3508"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中药士、中药师、主管中药师等</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2.中药炮制工、药物制剂工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226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药品生产企业、中药饮片厂 </w:t>
            </w:r>
          </w:p>
        </w:tc>
        <w:tc>
          <w:tcPr>
            <w:tcW w:w="2552" w:type="dxa"/>
            <w:noWrap w:val="0"/>
            <w:vAlign w:val="center"/>
          </w:tcPr>
          <w:p>
            <w:pPr>
              <w:rPr>
                <w:rFonts w:hint="eastAsia" w:ascii="宋体" w:hAnsi="宋体"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中药炮制加工、药品生产与管理、中药质量管理、药品销售、</w:t>
            </w:r>
            <w:r>
              <w:rPr>
                <w:rFonts w:hint="eastAsia" w:ascii="宋体" w:hAnsi="宋体" w:eastAsia="宋体" w:cs="Times New Roman"/>
                <w:color w:val="auto"/>
                <w:sz w:val="21"/>
                <w:szCs w:val="21"/>
                <w:highlight w:val="none"/>
              </w:rPr>
              <w:t>中药栽培</w:t>
            </w:r>
          </w:p>
        </w:tc>
        <w:tc>
          <w:tcPr>
            <w:tcW w:w="3508"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1.中药炮制工、药物制剂工</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2.中药助理工程师、工程师、高级工程师</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6"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226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药品经营企业（医药公司、零售药店）</w:t>
            </w:r>
          </w:p>
        </w:tc>
        <w:tc>
          <w:tcPr>
            <w:tcW w:w="2552"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中药</w:t>
            </w:r>
            <w:r>
              <w:rPr>
                <w:rFonts w:hint="eastAsia" w:ascii="Times New Roman" w:hAnsi="Times New Roman" w:eastAsia="宋体" w:cs="Times New Roman"/>
                <w:color w:val="auto"/>
                <w:sz w:val="21"/>
                <w:szCs w:val="21"/>
                <w:highlight w:val="none"/>
              </w:rPr>
              <w:t>采购与</w:t>
            </w:r>
            <w:r>
              <w:rPr>
                <w:rFonts w:hint="eastAsia" w:ascii="宋体" w:hAnsi="宋体" w:eastAsia="宋体" w:cs="Times New Roman"/>
                <w:color w:val="auto"/>
                <w:sz w:val="21"/>
                <w:szCs w:val="21"/>
                <w:highlight w:val="none"/>
              </w:rPr>
              <w:t>调剂</w:t>
            </w:r>
            <w:r>
              <w:rPr>
                <w:rFonts w:hint="eastAsia" w:ascii="Times New Roman" w:hAnsi="Times New Roman" w:eastAsia="宋体" w:cs="Times New Roman"/>
                <w:color w:val="auto"/>
                <w:sz w:val="21"/>
                <w:szCs w:val="21"/>
                <w:highlight w:val="none"/>
              </w:rPr>
              <w:t>、</w:t>
            </w:r>
            <w:r>
              <w:rPr>
                <w:rFonts w:hint="eastAsia" w:ascii="宋体" w:hAnsi="宋体" w:eastAsia="宋体" w:cs="Times New Roman"/>
                <w:color w:val="auto"/>
                <w:sz w:val="21"/>
                <w:szCs w:val="21"/>
                <w:highlight w:val="none"/>
              </w:rPr>
              <w:t>质量检测、中</w:t>
            </w:r>
            <w:r>
              <w:rPr>
                <w:rFonts w:hint="eastAsia" w:ascii="Times New Roman" w:hAnsi="Times New Roman" w:eastAsia="宋体" w:cs="Times New Roman"/>
                <w:color w:val="auto"/>
                <w:sz w:val="21"/>
                <w:szCs w:val="21"/>
                <w:highlight w:val="none"/>
              </w:rPr>
              <w:t>药保管与养护</w:t>
            </w:r>
            <w:r>
              <w:rPr>
                <w:rFonts w:hint="eastAsia" w:ascii="宋体" w:hAnsi="宋体" w:eastAsia="宋体" w:cs="Times New Roman"/>
                <w:color w:val="auto"/>
                <w:sz w:val="21"/>
                <w:szCs w:val="21"/>
                <w:highlight w:val="none"/>
              </w:rPr>
              <w:t>中药销售、中药验收、中药仓储管理、用药咨询服务、中药临方炮制</w:t>
            </w:r>
          </w:p>
        </w:tc>
        <w:tc>
          <w:tcPr>
            <w:tcW w:w="3508"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1.中药士、中药师、主管中药师等</w:t>
            </w:r>
          </w:p>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2.执业中药师</w:t>
            </w:r>
          </w:p>
        </w:tc>
      </w:tr>
    </w:tbl>
    <w:p>
      <w:pPr>
        <w:ind w:firstLine="361" w:firstLineChars="15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六、人才规格</w:t>
      </w:r>
    </w:p>
    <w:p>
      <w:pPr>
        <w:pStyle w:val="2"/>
        <w:tabs>
          <w:tab w:val="right" w:pos="9070"/>
        </w:tabs>
        <w:adjustRightInd w:val="0"/>
        <w:snapToGrid w:val="0"/>
        <w:spacing w:after="0" w:line="500" w:lineRule="exact"/>
        <w:ind w:left="0" w:leftChars="0" w:firstLine="480" w:firstLineChars="200"/>
        <w:rPr>
          <w:rFonts w:ascii="宋体" w:hAnsi="宋体" w:eastAsia="宋体" w:cs="Times New Roman"/>
          <w:color w:val="auto"/>
          <w:highlight w:val="none"/>
          <w:lang w:val="zh-Hans"/>
        </w:rPr>
      </w:pPr>
      <w:r>
        <w:rPr>
          <w:rFonts w:hint="eastAsia" w:ascii="宋体" w:hAnsi="宋体" w:eastAsia="宋体" w:cs="Times New Roman"/>
          <w:color w:val="auto"/>
          <w:highlight w:val="none"/>
          <w:lang w:val="zh-Hans"/>
        </w:rPr>
        <w:t>培养德智体美全面发展，具有良好的职业道德和坚实的职业生涯发展基础，掌握专业必需的基础理论知识和专业基本技能，从事本专业技术工作的高素质技术</w:t>
      </w:r>
      <w:r>
        <w:rPr>
          <w:rFonts w:ascii="宋体" w:hAnsi="宋体" w:eastAsia="宋体" w:cs="Times New Roman"/>
          <w:color w:val="auto"/>
          <w:highlight w:val="none"/>
          <w:lang w:val="zh-Hans"/>
        </w:rPr>
        <w:t>技能人才</w:t>
      </w:r>
      <w:r>
        <w:rPr>
          <w:rFonts w:hint="eastAsia" w:ascii="宋体" w:hAnsi="宋体" w:eastAsia="宋体" w:cs="Times New Roman"/>
          <w:color w:val="auto"/>
          <w:highlight w:val="none"/>
          <w:lang w:val="zh-Hans"/>
        </w:rPr>
        <w:t>。</w:t>
      </w:r>
    </w:p>
    <w:p>
      <w:pPr>
        <w:pStyle w:val="2"/>
        <w:spacing w:line="500" w:lineRule="exact"/>
        <w:ind w:left="0" w:leftChars="0"/>
        <w:rPr>
          <w:rFonts w:hint="eastAsia" w:ascii="宋体" w:hAnsi="宋体" w:eastAsia="宋体" w:cs="Times New Roman"/>
          <w:color w:val="auto"/>
          <w:highlight w:val="none"/>
        </w:rPr>
      </w:pPr>
      <w:r>
        <w:rPr>
          <w:rFonts w:hint="eastAsia" w:ascii="宋体" w:hAnsi="宋体" w:eastAsia="宋体" w:cs="Times New Roman"/>
          <w:b/>
          <w:color w:val="auto"/>
          <w:highlight w:val="none"/>
        </w:rPr>
        <w:t>（一）中职学段人才规格</w:t>
      </w:r>
    </w:p>
    <w:p>
      <w:pPr>
        <w:adjustRightInd w:val="0"/>
        <w:snapToGrid w:val="0"/>
        <w:spacing w:line="500" w:lineRule="exact"/>
        <w:ind w:firstLine="472" w:firstLineChars="19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1．职业素养</w:t>
      </w:r>
    </w:p>
    <w:p>
      <w:pPr>
        <w:kinsoku w:val="0"/>
        <w:overflowPunct w:val="0"/>
        <w:spacing w:line="500" w:lineRule="exact"/>
        <w:ind w:firstLine="600" w:firstLineChars="25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(1)具有良好的职业道德，诚实守信。</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（2）能自觉遵守医药行业法规、规范和企业规章制度。</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（3）热爱中药事业，具有为健康服务的精神和安全用药的责任感。</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（4）具有必备的文化基础知识和医药企业文化素养。</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（5）具有良好的人际交往、团队合作、适应社会和自身发展的能力。</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（6）具有较强的口头和书面表达能力，能够就中药信息与客户交流。</w:t>
      </w:r>
    </w:p>
    <w:p>
      <w:pPr>
        <w:adjustRightInd w:val="0"/>
        <w:snapToGrid w:val="0"/>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2．职业知识</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（1）掌握必备的医药基础知识和医药商品知识。</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（2）熟悉药事法规，具有明确的质量意识。</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（3）掌握必需的中药学专业知识。包括中药鉴定技术</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中药炮制学</w:t>
      </w:r>
      <w:r>
        <w:rPr>
          <w:rFonts w:ascii="宋体" w:hAnsi="宋体" w:eastAsia="宋体" w:cs="Times New Roman"/>
          <w:color w:val="auto"/>
          <w:sz w:val="24"/>
          <w:szCs w:val="24"/>
          <w:highlight w:val="none"/>
        </w:rPr>
        <w:t>、中药</w:t>
      </w:r>
      <w:r>
        <w:rPr>
          <w:rFonts w:hint="eastAsia" w:ascii="宋体" w:hAnsi="宋体" w:eastAsia="宋体" w:cs="Times New Roman"/>
          <w:color w:val="auto"/>
          <w:sz w:val="24"/>
          <w:szCs w:val="24"/>
          <w:highlight w:val="none"/>
        </w:rPr>
        <w:t>药剂学</w:t>
      </w:r>
      <w:r>
        <w:rPr>
          <w:rFonts w:ascii="宋体" w:hAnsi="宋体" w:eastAsia="宋体" w:cs="Times New Roman"/>
          <w:color w:val="auto"/>
          <w:sz w:val="24"/>
          <w:szCs w:val="24"/>
          <w:highlight w:val="none"/>
        </w:rPr>
        <w:t>、中药储存与</w:t>
      </w:r>
      <w:r>
        <w:rPr>
          <w:rFonts w:hint="eastAsia" w:ascii="宋体" w:hAnsi="宋体" w:eastAsia="宋体" w:cs="Times New Roman"/>
          <w:color w:val="auto"/>
          <w:sz w:val="24"/>
          <w:szCs w:val="24"/>
          <w:highlight w:val="none"/>
        </w:rPr>
        <w:t>养护</w:t>
      </w:r>
      <w:r>
        <w:rPr>
          <w:rFonts w:ascii="宋体" w:hAnsi="宋体" w:eastAsia="宋体" w:cs="Times New Roman"/>
          <w:color w:val="auto"/>
          <w:sz w:val="24"/>
          <w:szCs w:val="24"/>
          <w:highlight w:val="none"/>
        </w:rPr>
        <w:t>、中药化学、药用植物学等</w:t>
      </w:r>
      <w:r>
        <w:rPr>
          <w:rFonts w:hint="eastAsia" w:ascii="宋体" w:hAnsi="宋体" w:eastAsia="宋体" w:cs="Times New Roman"/>
          <w:color w:val="auto"/>
          <w:sz w:val="24"/>
          <w:szCs w:val="24"/>
          <w:highlight w:val="none"/>
        </w:rPr>
        <w:t>方面的知识。</w:t>
      </w:r>
    </w:p>
    <w:p>
      <w:pPr>
        <w:adjustRightInd w:val="0"/>
        <w:snapToGrid w:val="0"/>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3．职业能力</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（1）具有对处方进行审核及按处方正确配发药品的能力。</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（2）能掌握并遵循GSP，按照GSP规范和企业岗位规程完成药品采购作业。</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（3）能够按照药事管理法规以及合作服务的模式，以人的健康为中心，进行药品的处方调剂与营销服务，满足服务对象的健康需求。</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）掌握中药专业核心课程的基本理论和基本技能，能独立从事中药调剂、中药检验、中药炮制、中药销售和中药储存养护等岗位的工作。</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rPr>
        <w:t>）能进行良好的专业沟通，具有一定的用药指导、药物不良反应监测的能力，能够在执业药师的指导下，开展药学服务工作。</w:t>
      </w:r>
    </w:p>
    <w:p>
      <w:pPr>
        <w:kinsoku w:val="0"/>
        <w:overflowPunct w:val="0"/>
        <w:spacing w:line="500" w:lineRule="exact"/>
        <w:ind w:firstLine="480" w:firstLineChars="200"/>
        <w:textAlignment w:val="baseline"/>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）能运用中药专业知识和技能，系统地解决处方调剂和药品采购、销售、仓储、物流管理等工作中常见的综合性任务。</w:t>
      </w:r>
    </w:p>
    <w:p>
      <w:pPr>
        <w:kinsoku w:val="0"/>
        <w:overflowPunct w:val="0"/>
        <w:spacing w:line="500" w:lineRule="exact"/>
        <w:ind w:firstLine="480" w:firstLineChars="200"/>
        <w:textAlignment w:val="baseline"/>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）能使用计算机软件进行工作中相关的文字编辑、数据输入和信息收集工作。</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（8）能与同事相互配合完成工作，有工作绩效意识。</w:t>
      </w:r>
    </w:p>
    <w:p>
      <w:pPr>
        <w:spacing w:line="500" w:lineRule="exact"/>
        <w:ind w:firstLine="472" w:firstLineChars="19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（二）高职学段人才规格</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1．职业素质 </w:t>
      </w:r>
    </w:p>
    <w:p>
      <w:pPr>
        <w:spacing w:line="5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（1）树立传统的思想道德观念，拥护中国共产党的领导，热爱祖国，热爱人民。</w:t>
      </w:r>
    </w:p>
    <w:p>
      <w:pPr>
        <w:spacing w:line="5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（2）努力学习马列主义、 毛泽东思想和邓小平理论基本原理，自觉遵守国家法律法规。</w:t>
      </w:r>
    </w:p>
    <w:p>
      <w:pPr>
        <w:spacing w:line="5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（3）遵守职场规章制度，具有良好的职业道德，诚实守信，尽心、尽责完成各项工作任务，心胸开阔，能团结协作开展工作。</w:t>
      </w:r>
    </w:p>
    <w:p>
      <w:pPr>
        <w:spacing w:line="5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具有良好的心理调节能力和社会适应能力，能正确地对待困难和挫折，具有理智、乐观、豁达的气质。</w:t>
      </w:r>
    </w:p>
    <w:p>
      <w:pPr>
        <w:widowControl/>
        <w:shd w:val="clear" w:color="auto" w:fill="FFFFFF"/>
        <w:spacing w:line="500" w:lineRule="exact"/>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 热爱中药事业，能继承和发扬传统的中医药学特色，</w:t>
      </w:r>
      <w:r>
        <w:rPr>
          <w:rFonts w:hint="eastAsia" w:ascii="宋体" w:hAnsi="宋体" w:eastAsia="宋体" w:cs="宋体"/>
          <w:color w:val="auto"/>
          <w:kern w:val="0"/>
          <w:sz w:val="24"/>
          <w:szCs w:val="24"/>
          <w:highlight w:val="none"/>
        </w:rPr>
        <w:t>具有一定的社会责任感、使命感及吃苦耐劳的工作态度</w:t>
      </w:r>
      <w:r>
        <w:rPr>
          <w:rFonts w:hint="eastAsia" w:ascii="宋体" w:hAnsi="宋体" w:eastAsia="宋体" w:cs="宋体"/>
          <w:color w:val="auto"/>
          <w:sz w:val="24"/>
          <w:szCs w:val="24"/>
          <w:highlight w:val="none"/>
        </w:rPr>
        <w:t>。</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（6）具有良好的身体素质，体能达到规定的标准。</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2．职业知识</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（1）具有与本专业相关的基础医学知识，包括中医基础学、人体解剖生理学、微生物与免疫学等基础知识。</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（2）系统地掌握中药制剂技术、中药制剂检测技术、中药鉴定技术、中药炮制技术、中药化学和中药药理学等课程的基本理论知识和实践技能。 </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熟练掌握相应的中药调剂、中药炮制、中药制剂、中药鉴别等基本操作技能及相关服务法规。 </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（4）熟悉国家药品管理法律法规。 </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（5）了解中药专业的新技术、新设备和发展趋势，具有在业务上与时俱进的专业准备。 </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（6）具备阅读和翻译本专业一般英文资料的能力，具备基本的日常口语交谈的能力。</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（7）具有较好的语言与文字表达、人际沟通、信息获取的基本能力。</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（8）具有一定的计算机操作能力，具备利用计算机网络搜集专业信息、处理专业信息的能力。</w:t>
      </w:r>
    </w:p>
    <w:p>
      <w:pPr>
        <w:spacing w:line="500" w:lineRule="exact"/>
        <w:ind w:firstLine="600" w:firstLineChars="249"/>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3．职业能力 </w:t>
      </w:r>
    </w:p>
    <w:p>
      <w:pPr>
        <w:widowControl/>
        <w:shd w:val="clear" w:color="auto" w:fill="FFFFFF"/>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（1）能运用传统的中医基础学原理及哲学观念学习现代中药的相关知识。</w:t>
      </w:r>
    </w:p>
    <w:p>
      <w:pPr>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rPr>
        <w:t>能运用中药性状鉴定技术快速识别300种常用中药，做到见药知名；能说出100种重点中药的来源、道地产区及与常见伪品的鉴别要点</w:t>
      </w:r>
      <w:r>
        <w:rPr>
          <w:rFonts w:hint="eastAsia" w:ascii="宋体" w:hAnsi="宋体" w:eastAsia="宋体" w:cs="宋体"/>
          <w:color w:val="auto"/>
          <w:sz w:val="24"/>
          <w:szCs w:val="24"/>
          <w:highlight w:val="none"/>
        </w:rPr>
        <w:t>。</w:t>
      </w:r>
    </w:p>
    <w:p>
      <w:pPr>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（3）能从事中药剂型与制剂的设计、制备，中药制剂的分析检验。</w:t>
      </w:r>
    </w:p>
    <w:p>
      <w:pPr>
        <w:spacing w:line="500" w:lineRule="exact"/>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kern w:val="0"/>
          <w:sz w:val="24"/>
          <w:szCs w:val="24"/>
          <w:highlight w:val="none"/>
        </w:rPr>
        <w:t>能根据中药的作用和药性，选择适当的炮制方法和炮制辅料，并能用现代化学方法探究其炮制原理</w:t>
      </w:r>
      <w:r>
        <w:rPr>
          <w:rFonts w:hint="eastAsia" w:ascii="宋体" w:hAnsi="宋体" w:eastAsia="宋体" w:cs="宋体"/>
          <w:color w:val="auto"/>
          <w:sz w:val="24"/>
          <w:szCs w:val="24"/>
          <w:highlight w:val="none"/>
        </w:rPr>
        <w:t>。</w:t>
      </w:r>
    </w:p>
    <w:p>
      <w:pPr>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（5）能</w:t>
      </w:r>
      <w:r>
        <w:rPr>
          <w:rFonts w:hint="eastAsia" w:ascii="宋体" w:hAnsi="宋体" w:eastAsia="宋体" w:cs="宋体"/>
          <w:color w:val="auto"/>
          <w:sz w:val="24"/>
          <w:szCs w:val="24"/>
          <w:highlight w:val="none"/>
        </w:rPr>
        <w:t>熟练</w:t>
      </w:r>
      <w:r>
        <w:rPr>
          <w:rFonts w:hint="eastAsia" w:ascii="宋体" w:hAnsi="宋体" w:eastAsia="宋体" w:cs="宋体"/>
          <w:color w:val="auto"/>
          <w:kern w:val="0"/>
          <w:sz w:val="24"/>
          <w:szCs w:val="24"/>
          <w:highlight w:val="none"/>
        </w:rPr>
        <w:t>运用药理学知识</w:t>
      </w:r>
      <w:r>
        <w:rPr>
          <w:rFonts w:hint="eastAsia" w:ascii="宋体" w:hAnsi="宋体" w:eastAsia="宋体" w:cs="宋体"/>
          <w:color w:val="auto"/>
          <w:sz w:val="24"/>
          <w:szCs w:val="24"/>
          <w:highlight w:val="none"/>
        </w:rPr>
        <w:t>指导临床合理用药。</w:t>
      </w:r>
    </w:p>
    <w:p>
      <w:pPr>
        <w:spacing w:line="50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（6）能熟练操作和使用常用的中药制剂、中药炮制的设备设施，并能进行简单的日常维护。</w:t>
      </w:r>
    </w:p>
    <w:p>
      <w:pPr>
        <w:spacing w:line="500" w:lineRule="exact"/>
        <w:ind w:firstLine="360" w:firstLineChars="15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（7）熟悉国家卫生工作方针、政策和《药品管理法》及相关法律法规。</w:t>
      </w:r>
    </w:p>
    <w:p>
      <w:pPr>
        <w:spacing w:line="500" w:lineRule="exact"/>
        <w:ind w:firstLine="241" w:firstLineChars="1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七、毕业标准与转段考核要求</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（一）中职学段毕业标准</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1.学生在广东省江门中医药学校规定学习年限内，修完本专业教育教学计划规定内容，成绩合格，</w:t>
      </w:r>
      <w:r>
        <w:rPr>
          <w:rFonts w:hint="eastAsia" w:ascii="宋体" w:hAnsi="宋体" w:eastAsia="宋体" w:cs="Times New Roman"/>
          <w:color w:val="auto"/>
          <w:sz w:val="24"/>
          <w:szCs w:val="24"/>
          <w:highlight w:val="none"/>
          <w:lang w:val="en-US" w:eastAsia="zh-CN"/>
        </w:rPr>
        <w:t>修满规定的学分,</w:t>
      </w:r>
      <w:r>
        <w:rPr>
          <w:rFonts w:hint="eastAsia" w:ascii="宋体" w:hAnsi="宋体" w:eastAsia="宋体" w:cs="Times New Roman"/>
          <w:color w:val="auto"/>
          <w:sz w:val="24"/>
          <w:szCs w:val="24"/>
          <w:highlight w:val="none"/>
        </w:rPr>
        <w:t>准予毕业。</w:t>
      </w:r>
    </w:p>
    <w:p>
      <w:pPr>
        <w:spacing w:line="500" w:lineRule="exact"/>
        <w:ind w:firstLine="480" w:firstLineChars="200"/>
        <w:rPr>
          <w:rFonts w:hint="eastAsia" w:ascii="宋体" w:hAnsi="宋体" w:eastAsia="宋体" w:cs="宋体"/>
          <w:b/>
          <w:bCs/>
          <w:color w:val="auto"/>
          <w:kern w:val="0"/>
          <w:sz w:val="24"/>
          <w:szCs w:val="24"/>
          <w:highlight w:val="none"/>
        </w:rPr>
      </w:pPr>
      <w:r>
        <w:rPr>
          <w:rFonts w:hint="eastAsia" w:ascii="宋体" w:hAnsi="宋体" w:eastAsia="宋体" w:cs="Times New Roman"/>
          <w:color w:val="auto"/>
          <w:sz w:val="24"/>
          <w:szCs w:val="24"/>
          <w:highlight w:val="none"/>
        </w:rPr>
        <w:t>2. 学分计算方法：每学科每16学时计1学分，入学教育、实习前教育、毕业教育、劳动等每1周计30学时，计1学分</w:t>
      </w:r>
      <w:r>
        <w:rPr>
          <w:rFonts w:hint="eastAsia" w:ascii="宋体" w:hAnsi="宋体" w:eastAsia="宋体" w:cs="Times New Roman"/>
          <w:b/>
          <w:bCs/>
          <w:color w:val="auto"/>
          <w:sz w:val="24"/>
          <w:szCs w:val="24"/>
          <w:highlight w:val="none"/>
        </w:rPr>
        <w:t>。毕业实习</w:t>
      </w:r>
      <w:r>
        <w:rPr>
          <w:rFonts w:hint="eastAsia" w:ascii="宋体" w:hAnsi="宋体" w:eastAsia="宋体" w:cs="宋体"/>
          <w:b/>
          <w:bCs/>
          <w:color w:val="auto"/>
          <w:kern w:val="0"/>
          <w:sz w:val="24"/>
          <w:szCs w:val="24"/>
          <w:highlight w:val="none"/>
        </w:rPr>
        <w:t>一般按每周30小时（1小时折1学时）安排，一学年安排40周实习，相当于1200学时，每学期按总学分的1/6计，即170×1/6=28（学分），一学年按56学分计。</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（二）高职学段毕业标准</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1.学生在广东江门中医药职业学院规定学习年限内，修完本专业教育教学计划规定内容，成绩合格，</w:t>
      </w:r>
      <w:r>
        <w:rPr>
          <w:rFonts w:hint="eastAsia" w:ascii="宋体" w:hAnsi="宋体" w:eastAsia="宋体" w:cs="Times New Roman"/>
          <w:color w:val="auto"/>
          <w:sz w:val="24"/>
          <w:szCs w:val="24"/>
          <w:highlight w:val="none"/>
          <w:lang w:val="en-US" w:eastAsia="zh-CN"/>
        </w:rPr>
        <w:t>修满规定的学分,</w:t>
      </w:r>
      <w:r>
        <w:rPr>
          <w:rFonts w:hint="eastAsia" w:ascii="宋体" w:hAnsi="宋体" w:eastAsia="宋体" w:cs="Times New Roman"/>
          <w:color w:val="auto"/>
          <w:sz w:val="24"/>
          <w:szCs w:val="24"/>
          <w:highlight w:val="none"/>
        </w:rPr>
        <w:t>准予毕业。</w:t>
      </w:r>
    </w:p>
    <w:p>
      <w:pPr>
        <w:spacing w:line="50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 学分计算方法：每学科每16学时计1学分，入学教育、毕业教育、社会实践等每1周计30学时，计1学分。毕业实习一学年安排40周实习，一周1学分，共40学分。</w:t>
      </w:r>
    </w:p>
    <w:p>
      <w:pPr>
        <w:spacing w:line="500" w:lineRule="exact"/>
        <w:ind w:firstLine="482" w:firstLineChars="200"/>
        <w:rPr>
          <w:rFonts w:hint="eastAsia" w:ascii="宋体" w:hAnsi="宋体" w:eastAsia="宋体" w:cs="Times New Roman"/>
          <w:b/>
          <w:bCs/>
          <w:color w:val="auto"/>
          <w:sz w:val="24"/>
          <w:szCs w:val="24"/>
          <w:highlight w:val="none"/>
        </w:rPr>
      </w:pPr>
      <w:r>
        <w:rPr>
          <w:rFonts w:hint="eastAsia" w:ascii="宋体" w:hAnsi="宋体" w:eastAsia="宋体" w:cs="Times New Roman"/>
          <w:b/>
          <w:color w:val="auto"/>
          <w:sz w:val="24"/>
          <w:szCs w:val="24"/>
          <w:highlight w:val="none"/>
        </w:rPr>
        <w:t>（三）</w:t>
      </w:r>
      <w:r>
        <w:rPr>
          <w:rFonts w:hint="eastAsia" w:ascii="宋体" w:hAnsi="宋体" w:eastAsia="宋体" w:cs="Times New Roman"/>
          <w:b/>
          <w:bCs/>
          <w:color w:val="auto"/>
          <w:sz w:val="24"/>
          <w:szCs w:val="24"/>
          <w:highlight w:val="none"/>
        </w:rPr>
        <w:t>转段考核要求</w:t>
      </w:r>
    </w:p>
    <w:p>
      <w:pPr>
        <w:spacing w:line="500" w:lineRule="exact"/>
        <w:ind w:firstLine="564" w:firstLineChars="235"/>
        <w:jc w:val="left"/>
        <w:rPr>
          <w:rFonts w:ascii="宋体" w:hAnsi="宋体" w:eastAsia="宋体" w:cs="Times New Roman"/>
          <w:color w:val="auto"/>
          <w:sz w:val="24"/>
          <w:szCs w:val="24"/>
          <w:highlight w:val="none"/>
          <w:lang w:val="zh-Hans"/>
        </w:rPr>
      </w:pPr>
      <w:r>
        <w:rPr>
          <w:rFonts w:hint="eastAsia" w:ascii="宋体" w:hAnsi="宋体" w:eastAsia="宋体" w:cs="Times New Roman"/>
          <w:color w:val="auto"/>
          <w:sz w:val="24"/>
          <w:szCs w:val="24"/>
          <w:highlight w:val="none"/>
          <w:lang w:val="zh-Hans"/>
        </w:rPr>
        <w:t>1、考核内容方法</w:t>
      </w:r>
    </w:p>
    <w:p>
      <w:pPr>
        <w:widowControl/>
        <w:adjustRightInd w:val="0"/>
        <w:snapToGrid w:val="0"/>
        <w:spacing w:line="500" w:lineRule="exact"/>
        <w:ind w:firstLine="424" w:firstLineChars="177"/>
        <w:jc w:val="left"/>
        <w:rPr>
          <w:rFonts w:hint="eastAsia" w:ascii="宋体" w:hAnsi="宋体" w:eastAsia="宋体" w:cs="宋体"/>
          <w:color w:val="auto"/>
          <w:kern w:val="0"/>
          <w:sz w:val="24"/>
          <w:highlight w:val="none"/>
        </w:rPr>
      </w:pPr>
      <w:r>
        <w:rPr>
          <w:rFonts w:hint="eastAsia" w:ascii="宋体" w:hAnsi="宋体" w:eastAsia="宋体" w:cs="Times New Roman"/>
          <w:color w:val="auto"/>
          <w:sz w:val="24"/>
          <w:szCs w:val="24"/>
          <w:highlight w:val="none"/>
        </w:rPr>
        <w:t>转段考核内容以中高职贯通“三二分段”人才培养方案为依据，以综合素质、职业核心能力和专业技能为考核重点，主要考核学生的文化基础、专业理论、专业技能，</w:t>
      </w:r>
      <w:r>
        <w:rPr>
          <w:rFonts w:hint="eastAsia" w:ascii="宋体" w:hAnsi="宋体" w:eastAsia="宋体" w:cs="宋体"/>
          <w:color w:val="auto"/>
          <w:kern w:val="0"/>
          <w:sz w:val="24"/>
          <w:highlight w:val="none"/>
        </w:rPr>
        <w:t>采取过程考核方式开展。</w:t>
      </w:r>
    </w:p>
    <w:p>
      <w:pPr>
        <w:widowControl/>
        <w:adjustRightInd w:val="0"/>
        <w:snapToGrid w:val="0"/>
        <w:spacing w:line="500" w:lineRule="exact"/>
        <w:ind w:firstLine="424" w:firstLineChars="177"/>
        <w:jc w:val="left"/>
        <w:rPr>
          <w:rFonts w:ascii="宋体" w:hAnsi="宋体" w:eastAsia="宋体" w:cs="仿宋_GB2312"/>
          <w:color w:val="auto"/>
          <w:kern w:val="0"/>
          <w:sz w:val="24"/>
          <w:szCs w:val="24"/>
          <w:highlight w:val="none"/>
          <w:lang w:val="zh-CN"/>
        </w:rPr>
      </w:pPr>
      <w:r>
        <w:rPr>
          <w:rFonts w:hint="eastAsia" w:ascii="宋体" w:hAnsi="宋体" w:eastAsia="宋体" w:cs="仿宋_GB2312"/>
          <w:color w:val="auto"/>
          <w:kern w:val="0"/>
          <w:sz w:val="24"/>
          <w:szCs w:val="24"/>
          <w:highlight w:val="none"/>
          <w:lang w:val="zh-CN"/>
        </w:rPr>
        <w:t>（1）考核科目与分数：</w:t>
      </w:r>
      <w:r>
        <w:rPr>
          <w:rFonts w:hint="eastAsia" w:ascii="宋体" w:hAnsi="宋体" w:eastAsia="宋体" w:cs="宋体"/>
          <w:color w:val="auto"/>
          <w:kern w:val="0"/>
          <w:sz w:val="24"/>
          <w:highlight w:val="none"/>
        </w:rPr>
        <w:t>考核科目由</w:t>
      </w:r>
      <w:r>
        <w:rPr>
          <w:rFonts w:hint="eastAsia" w:ascii="宋体" w:hAnsi="宋体" w:eastAsia="宋体" w:cs="Times New Roman"/>
          <w:color w:val="auto"/>
          <w:sz w:val="24"/>
          <w:highlight w:val="none"/>
        </w:rPr>
        <w:t>文化基础课、专业课中5门课程组成，每门课程</w:t>
      </w:r>
      <w:r>
        <w:rPr>
          <w:rFonts w:hint="eastAsia" w:ascii="宋体" w:hAnsi="宋体" w:eastAsia="宋体" w:cs="宋体"/>
          <w:color w:val="auto"/>
          <w:kern w:val="0"/>
          <w:sz w:val="24"/>
          <w:highlight w:val="none"/>
        </w:rPr>
        <w:t>满分100分，总分500分。其中</w:t>
      </w:r>
      <w:r>
        <w:rPr>
          <w:rFonts w:hint="eastAsia" w:ascii="宋体" w:hAnsi="宋体" w:eastAsia="宋体" w:cs="Times New Roman"/>
          <w:color w:val="auto"/>
          <w:sz w:val="24"/>
          <w:highlight w:val="none"/>
        </w:rPr>
        <w:t>专业课可</w:t>
      </w:r>
      <w:r>
        <w:rPr>
          <w:rFonts w:hint="eastAsia" w:ascii="宋体" w:hAnsi="宋体" w:eastAsia="宋体" w:cs="宋体"/>
          <w:color w:val="auto"/>
          <w:kern w:val="0"/>
          <w:sz w:val="24"/>
          <w:highlight w:val="none"/>
        </w:rPr>
        <w:t>分为理论考试和技能考核。录取分数为总分300分以上，每门课程必须60分以上。</w:t>
      </w:r>
    </w:p>
    <w:p>
      <w:pPr>
        <w:spacing w:line="500" w:lineRule="exact"/>
        <w:ind w:firstLine="480" w:firstLineChars="200"/>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（2）考核方式：采用笔试、实操、面试等相结合考核方式。</w:t>
      </w:r>
    </w:p>
    <w:p>
      <w:pPr>
        <w:spacing w:line="500" w:lineRule="exact"/>
        <w:ind w:firstLine="480" w:firstLineChars="200"/>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①理论考试 采取笔试的方式开展。理论考试笔试由广东江门中医药职业学院负责试题编制，经审定后在广东省江门中医药学校三二分段试点专业（中药）试点班开展考试。</w:t>
      </w:r>
    </w:p>
    <w:p>
      <w:pPr>
        <w:spacing w:line="500" w:lineRule="exact"/>
        <w:ind w:firstLine="480" w:firstLineChars="200"/>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②技能考核 采取实操、面试等方式进行。技能考核由广东江门中医药职业学院负责专业技能题目的编制，经审定后在广东省江门中医药学校三二分段试点专业（中药）试点班组织考核。</w:t>
      </w:r>
    </w:p>
    <w:p>
      <w:pPr>
        <w:widowControl/>
        <w:adjustRightInd w:val="0"/>
        <w:snapToGrid w:val="0"/>
        <w:spacing w:line="500" w:lineRule="exact"/>
        <w:ind w:firstLine="424" w:firstLineChars="177"/>
        <w:jc w:val="left"/>
        <w:rPr>
          <w:rFonts w:ascii="宋体" w:hAnsi="宋体" w:eastAsia="宋体" w:cs="仿宋_GB2312"/>
          <w:color w:val="auto"/>
          <w:kern w:val="0"/>
          <w:sz w:val="24"/>
          <w:szCs w:val="24"/>
          <w:highlight w:val="none"/>
          <w:lang w:val="zh-CN"/>
        </w:rPr>
      </w:pPr>
      <w:r>
        <w:rPr>
          <w:rFonts w:hint="eastAsia" w:ascii="宋体" w:hAnsi="宋体" w:eastAsia="宋体" w:cs="Times New Roman"/>
          <w:color w:val="auto"/>
          <w:sz w:val="24"/>
          <w:szCs w:val="24"/>
          <w:highlight w:val="none"/>
        </w:rPr>
        <w:t>（3）考核时间：在广东省江门中医药学校的三二分段试点专业（中药）试点班各课程结束期末考试时同步进行。</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2.考核科目及方式：</w:t>
      </w:r>
      <w:r>
        <w:rPr>
          <w:rFonts w:ascii="宋体" w:hAnsi="宋体" w:eastAsia="宋体" w:cs="宋体"/>
          <w:color w:val="auto"/>
          <w:kern w:val="0"/>
          <w:sz w:val="24"/>
          <w:szCs w:val="24"/>
          <w:highlight w:val="none"/>
        </w:rPr>
        <w:t xml:space="preserve"> </w:t>
      </w:r>
    </w:p>
    <w:p>
      <w:pPr>
        <w:widowControl/>
        <w:shd w:val="clear" w:color="auto" w:fill="FFFFFF"/>
        <w:spacing w:line="500" w:lineRule="exact"/>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科目一：语文应用基础（分值100分） </w:t>
      </w:r>
    </w:p>
    <w:p>
      <w:pPr>
        <w:widowControl/>
        <w:shd w:val="clear" w:color="auto" w:fill="FFFFFF"/>
        <w:spacing w:line="500" w:lineRule="exact"/>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考核方式：闭卷笔试，时间100分钟，满分100分。</w:t>
      </w:r>
    </w:p>
    <w:p>
      <w:pPr>
        <w:widowControl/>
        <w:shd w:val="clear" w:color="auto" w:fill="FFFFFF"/>
        <w:spacing w:line="500" w:lineRule="exact"/>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科目二：中医学基础</w:t>
      </w:r>
    </w:p>
    <w:p>
      <w:pPr>
        <w:widowControl/>
        <w:shd w:val="clear" w:color="auto" w:fill="FFFFFF"/>
        <w:spacing w:line="500" w:lineRule="exact"/>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考核方式：闭卷笔试，时间100分钟，满分100分。</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科目三：中药学</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考核方式：闭卷笔试+技能操作考试，闭卷考试时间100分钟，成绩占70%；技能操作考试（处方审核）成绩占30%。   </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科目四：中药鉴定技术</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考核方式：闭卷笔试+技能操作考试，闭卷考试时间100分钟，成绩占60%，技能操作考试（常用中药饮片性状鉴别、常用中药饮片的真伪鉴别、粉末临时制片）各项成绩平均分占40%。  </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科目五：</w:t>
      </w:r>
      <w:r>
        <w:rPr>
          <w:rFonts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中药药剂学</w:t>
      </w:r>
    </w:p>
    <w:p>
      <w:pPr>
        <w:widowControl/>
        <w:shd w:val="clear" w:color="auto" w:fill="FFFFFF"/>
        <w:spacing w:line="500" w:lineRule="exact"/>
        <w:ind w:firstLine="56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考核方式：闭卷笔试+技能操作考试，闭卷考试时间100分钟，成绩占60%，技能操作考试（常用剂型的制备及常规检查）成绩占40%。 </w:t>
      </w:r>
    </w:p>
    <w:p>
      <w:pPr>
        <w:widowControl/>
        <w:shd w:val="clear" w:color="auto" w:fill="FFFFFF"/>
        <w:spacing w:line="500" w:lineRule="exact"/>
        <w:ind w:firstLine="560"/>
        <w:jc w:val="left"/>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(四) 转段资格证书要求</w:t>
      </w:r>
    </w:p>
    <w:p>
      <w:pPr>
        <w:spacing w:line="500" w:lineRule="exact"/>
        <w:ind w:firstLine="480" w:firstLineChars="200"/>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根据《广东省教育厅 广东省招生委员会办公室关于开展2018年职业院校中高职贯通培养三二分段试点工作的通知》粤教职函〔2018〕68号文件精神，要求进入对口高职院校对口专业的学生，在第五学期前获得相应专业对口的下列资格证书之一：（1）获得广东省教育考试院颁发的专业技能课程等级证书B级以上证书（参考证书：化学证、育婴师证等）；（2）国家职业资格中级（含）以上技能等级证书；（3）省（厅局）级及以上行政部门及其授权的省级（含）以上行业学会颁发的中级（含）以上职业技能等级证书；（4）广东省中职学校中药传统技能比赛三等奖及以上，或市级中职学校技能比赛一、二、三等奖。</w:t>
      </w:r>
    </w:p>
    <w:p>
      <w:pPr>
        <w:spacing w:line="500" w:lineRule="exact"/>
        <w:ind w:firstLine="361" w:firstLineChars="15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八、课程体系与设置</w:t>
      </w:r>
    </w:p>
    <w:p>
      <w:pPr>
        <w:spacing w:line="500" w:lineRule="exact"/>
        <w:ind w:firstLine="480" w:firstLineChars="200"/>
        <w:rPr>
          <w:rFonts w:ascii="宋体" w:hAnsi="宋体" w:eastAsia="宋体" w:cs="Times New Roman"/>
          <w:b/>
          <w:color w:val="auto"/>
          <w:sz w:val="24"/>
          <w:szCs w:val="24"/>
          <w:highlight w:val="none"/>
        </w:rPr>
      </w:pPr>
      <w:r>
        <w:rPr>
          <w:rFonts w:hint="eastAsia" w:ascii="宋体" w:hAnsi="宋体" w:eastAsia="宋体" w:cs="Times New Roman"/>
          <w:color w:val="auto"/>
          <w:sz w:val="24"/>
          <w:szCs w:val="24"/>
          <w:highlight w:val="none"/>
        </w:rPr>
        <w:t>由5个模块组成：公共基础模块、 专业基础模块、 专业核心模块、专业技能模块 、拓展模块。</w:t>
      </w:r>
    </w:p>
    <w:p>
      <w:pPr>
        <w:ind w:firstLine="482" w:firstLineChars="200"/>
        <w:jc w:val="center"/>
        <w:rPr>
          <w:rFonts w:hint="eastAsia" w:ascii="宋体" w:hAnsi="宋体" w:eastAsia="宋体" w:cs="Times New Roman"/>
          <w:b/>
          <w:color w:val="auto"/>
          <w:sz w:val="24"/>
          <w:szCs w:val="24"/>
          <w:highlight w:val="none"/>
        </w:rPr>
      </w:pPr>
      <w:r>
        <w:rPr>
          <w:rFonts w:ascii="宋体" w:hAnsi="宋体" w:eastAsia="宋体" w:cs="Times New Roman"/>
          <w:b/>
          <w:color w:val="auto"/>
          <w:sz w:val="24"/>
          <w:szCs w:val="24"/>
          <w:highlight w:val="none"/>
        </w:rPr>
        <w:br w:type="page"/>
      </w:r>
      <w:r>
        <w:rPr>
          <w:rFonts w:hint="eastAsia" w:ascii="宋体" w:hAnsi="宋体" w:eastAsia="宋体" w:cs="Times New Roman"/>
          <w:b/>
          <w:color w:val="auto"/>
          <w:sz w:val="24"/>
          <w:szCs w:val="24"/>
          <w:highlight w:val="none"/>
        </w:rPr>
        <w:t>表3 中高职贯通培养三二分段中药学专业课程</w:t>
      </w:r>
    </w:p>
    <w:p>
      <w:pPr>
        <w:ind w:firstLine="482" w:firstLineChars="200"/>
        <w:jc w:val="center"/>
        <w:rPr>
          <w:rFonts w:hint="eastAsia" w:ascii="宋体" w:hAnsi="宋体" w:eastAsia="宋体" w:cs="Times New Roman"/>
          <w:b/>
          <w:color w:val="auto"/>
          <w:sz w:val="24"/>
          <w:szCs w:val="24"/>
          <w:highlight w:val="none"/>
        </w:rPr>
      </w:pPr>
    </w:p>
    <w:tbl>
      <w:tblPr>
        <w:tblStyle w:val="3"/>
        <w:tblW w:w="9227" w:type="dxa"/>
        <w:tblInd w:w="95" w:type="dxa"/>
        <w:tblLayout w:type="fixed"/>
        <w:tblCellMar>
          <w:top w:w="0" w:type="dxa"/>
          <w:left w:w="108" w:type="dxa"/>
          <w:bottom w:w="0" w:type="dxa"/>
          <w:right w:w="108" w:type="dxa"/>
        </w:tblCellMar>
      </w:tblPr>
      <w:tblGrid>
        <w:gridCol w:w="1714"/>
        <w:gridCol w:w="5954"/>
        <w:gridCol w:w="1559"/>
      </w:tblGrid>
      <w:tr>
        <w:tblPrEx>
          <w:tblLayout w:type="fixed"/>
          <w:tblCellMar>
            <w:top w:w="0" w:type="dxa"/>
            <w:left w:w="108" w:type="dxa"/>
            <w:bottom w:w="0" w:type="dxa"/>
            <w:right w:w="108" w:type="dxa"/>
          </w:tblCellMar>
        </w:tblPrEx>
        <w:trPr>
          <w:trHeight w:val="20" w:hRule="atLeast"/>
        </w:trPr>
        <w:tc>
          <w:tcPr>
            <w:tcW w:w="1714"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课程类型</w:t>
            </w:r>
          </w:p>
        </w:tc>
        <w:tc>
          <w:tcPr>
            <w:tcW w:w="5954" w:type="dxa"/>
            <w:tcBorders>
              <w:top w:val="single" w:color="auto" w:sz="8" w:space="0"/>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课程名称</w:t>
            </w:r>
          </w:p>
        </w:tc>
        <w:tc>
          <w:tcPr>
            <w:tcW w:w="1559" w:type="dxa"/>
            <w:tcBorders>
              <w:top w:val="single" w:color="auto" w:sz="8" w:space="0"/>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课程性质</w:t>
            </w:r>
          </w:p>
        </w:tc>
      </w:tr>
      <w:tr>
        <w:tblPrEx>
          <w:tblLayout w:type="fixed"/>
          <w:tblCellMar>
            <w:top w:w="0" w:type="dxa"/>
            <w:left w:w="108" w:type="dxa"/>
            <w:bottom w:w="0" w:type="dxa"/>
            <w:right w:w="108" w:type="dxa"/>
          </w:tblCellMar>
        </w:tblPrEx>
        <w:trPr>
          <w:trHeight w:val="20" w:hRule="atLeast"/>
        </w:trPr>
        <w:tc>
          <w:tcPr>
            <w:tcW w:w="1714" w:type="dxa"/>
            <w:vMerge w:val="restart"/>
            <w:tcBorders>
              <w:top w:val="nil"/>
              <w:left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公共基础模块</w:t>
            </w:r>
          </w:p>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职业生涯规划</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职业道德与法律</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经济政治与社会</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哲学与人生</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语文应用基础*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医学英语</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数学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体育与健康</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信息技术基础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军事理论与军事技能</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国家安全教育</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cs="宋体"/>
                <w:i w:val="0"/>
                <w:color w:val="auto"/>
                <w:kern w:val="0"/>
                <w:sz w:val="21"/>
                <w:szCs w:val="21"/>
                <w:highlight w:val="none"/>
                <w:u w:val="none"/>
                <w:lang w:val="en-US" w:eastAsia="zh-CN" w:bidi="ar"/>
              </w:rPr>
              <w:t>思想道德与法治</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毛泽东思想和中国特色社会主义理论体系概论</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形势与政策</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马克思主义中国化进程与青年学生使命担当</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计算机应用基础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大学英语</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大学生心理健康</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创新创业教育</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劳动教育</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restart"/>
            <w:tcBorders>
              <w:top w:val="single" w:color="auto" w:sz="8" w:space="0"/>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专业基础模块</w:t>
            </w:r>
          </w:p>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c>
          <w:tcPr>
            <w:tcW w:w="5954" w:type="dxa"/>
            <w:tcBorders>
              <w:top w:val="single" w:color="auto" w:sz="8" w:space="0"/>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职业礼仪</w:t>
            </w:r>
          </w:p>
        </w:tc>
        <w:tc>
          <w:tcPr>
            <w:tcW w:w="1559" w:type="dxa"/>
            <w:tcBorders>
              <w:top w:val="single" w:color="auto" w:sz="8" w:space="0"/>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保健品基础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无机化学基础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有机化学基础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 xml:space="preserve">中医学基础﹡ </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正常人体学基础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疾病概要</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药用植物学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病原生物与免疫学基础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药用基础化学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药事管理与法规</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职业礼仪</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restart"/>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专业核心模块</w:t>
            </w: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中药药剂学*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方剂学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中成药的临床应用</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中药化学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中药鉴定技术*</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中药炮制技术</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中药储存技术</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药事管理学基础</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中药栽培技术</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药理与药物治疗学基础</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中药药理</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中药制剂检测技术</w:t>
            </w:r>
          </w:p>
        </w:tc>
        <w:tc>
          <w:tcPr>
            <w:tcW w:w="1559" w:type="dxa"/>
            <w:tcBorders>
              <w:top w:val="nil"/>
              <w:left w:val="nil"/>
              <w:bottom w:val="single" w:color="auto" w:sz="8" w:space="0"/>
              <w:right w:val="single" w:color="auto" w:sz="8" w:space="0"/>
            </w:tcBorders>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restart"/>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专业技能模块</w:t>
            </w: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药店零售与服务技术</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专业综合技能实训（一）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专业综合技能实训（二）</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必修课</w:t>
            </w:r>
          </w:p>
        </w:tc>
      </w:tr>
      <w:tr>
        <w:tblPrEx>
          <w:tblLayout w:type="fixed"/>
          <w:tblCellMar>
            <w:top w:w="0" w:type="dxa"/>
            <w:left w:w="108" w:type="dxa"/>
            <w:bottom w:w="0" w:type="dxa"/>
            <w:right w:w="108" w:type="dxa"/>
          </w:tblCellMar>
        </w:tblPrEx>
        <w:trPr>
          <w:trHeight w:val="20" w:hRule="atLeast"/>
        </w:trPr>
        <w:tc>
          <w:tcPr>
            <w:tcW w:w="1714" w:type="dxa"/>
            <w:vMerge w:val="restart"/>
            <w:tcBorders>
              <w:top w:val="nil"/>
              <w:left w:val="single" w:color="auto" w:sz="8" w:space="0"/>
              <w:right w:val="single" w:color="auto" w:sz="8" w:space="0"/>
            </w:tcBorders>
            <w:noWrap w:val="0"/>
            <w:vAlign w:val="center"/>
          </w:tcPr>
          <w:p>
            <w:pPr>
              <w:widowControl/>
              <w:ind w:firstLine="210" w:firstLineChars="1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拓展模块</w:t>
            </w: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实用药物学基础</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医学伦理学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中药GSP实务</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中药学综合知识与技能</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药学文献检索</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4"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药膳食疗学</w:t>
            </w:r>
          </w:p>
        </w:tc>
        <w:tc>
          <w:tcPr>
            <w:tcW w:w="1559" w:type="dxa"/>
            <w:tcBorders>
              <w:top w:val="nil"/>
              <w:left w:val="nil"/>
              <w:bottom w:val="single" w:color="auto" w:sz="4"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r>
        <w:tblPrEx>
          <w:tblLayout w:type="fixed"/>
          <w:tblCellMar>
            <w:top w:w="0" w:type="dxa"/>
            <w:left w:w="108" w:type="dxa"/>
            <w:bottom w:w="0" w:type="dxa"/>
            <w:right w:w="108" w:type="dxa"/>
          </w:tblCellMar>
        </w:tblPrEx>
        <w:trPr>
          <w:trHeight w:val="20" w:hRule="atLeast"/>
        </w:trPr>
        <w:tc>
          <w:tcPr>
            <w:tcW w:w="1714" w:type="dxa"/>
            <w:vMerge w:val="continue"/>
            <w:tcBorders>
              <w:left w:val="single" w:color="auto" w:sz="8" w:space="0"/>
              <w:bottom w:val="single" w:color="auto" w:sz="8" w:space="0"/>
              <w:right w:val="single" w:color="auto" w:sz="8" w:space="0"/>
            </w:tcBorders>
            <w:noWrap w:val="0"/>
            <w:vAlign w:val="center"/>
          </w:tcPr>
          <w:p>
            <w:pPr>
              <w:ind w:firstLine="210" w:firstLineChars="100"/>
              <w:jc w:val="left"/>
              <w:rPr>
                <w:rFonts w:hint="eastAsia" w:ascii="宋体" w:hAnsi="宋体" w:eastAsia="宋体" w:cs="宋体"/>
                <w:color w:val="auto"/>
                <w:kern w:val="0"/>
                <w:sz w:val="21"/>
                <w:szCs w:val="21"/>
                <w:highlight w:val="none"/>
              </w:rPr>
            </w:pPr>
          </w:p>
        </w:tc>
        <w:tc>
          <w:tcPr>
            <w:tcW w:w="5954"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中药商品学</w:t>
            </w:r>
          </w:p>
        </w:tc>
        <w:tc>
          <w:tcPr>
            <w:tcW w:w="1559"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选修课</w:t>
            </w:r>
          </w:p>
        </w:tc>
      </w:tr>
    </w:tbl>
    <w:p>
      <w:pPr>
        <w:ind w:firstLine="480" w:firstLineChars="200"/>
        <w:rPr>
          <w:rFonts w:hint="eastAsia" w:ascii="宋体" w:hAnsi="宋体" w:eastAsia="宋体" w:cs="Times New Roman"/>
          <w:b/>
          <w:color w:val="auto"/>
          <w:sz w:val="24"/>
          <w:szCs w:val="24"/>
          <w:highlight w:val="none"/>
        </w:rPr>
      </w:pPr>
      <w:r>
        <w:rPr>
          <w:rFonts w:hint="eastAsia" w:ascii="宋体" w:hAnsi="宋体" w:eastAsia="宋体" w:cs="Times New Roman"/>
          <w:color w:val="auto"/>
          <w:sz w:val="24"/>
          <w:szCs w:val="24"/>
          <w:highlight w:val="none"/>
        </w:rPr>
        <w:t xml:space="preserve">注：“*” 表示中高职转段考核课程。 </w:t>
      </w:r>
    </w:p>
    <w:p>
      <w:pPr>
        <w:spacing w:line="500" w:lineRule="exact"/>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九、课程内容及要求</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1．公共基础模块（课时</w:t>
      </w:r>
      <w:r>
        <w:rPr>
          <w:rFonts w:hint="eastAsia" w:ascii="宋体" w:hAnsi="宋体" w:eastAsia="宋体" w:cs="Times New Roman"/>
          <w:b/>
          <w:color w:val="auto"/>
          <w:sz w:val="24"/>
          <w:szCs w:val="24"/>
          <w:highlight w:val="none"/>
          <w:lang w:val="en-US" w:eastAsia="zh-CN"/>
        </w:rPr>
        <w:t>1062</w:t>
      </w:r>
      <w:r>
        <w:rPr>
          <w:rFonts w:hint="eastAsia" w:ascii="宋体" w:hAnsi="宋体" w:eastAsia="宋体" w:cs="Times New Roman"/>
          <w:b/>
          <w:color w:val="auto"/>
          <w:sz w:val="24"/>
          <w:szCs w:val="24"/>
          <w:highlight w:val="none"/>
        </w:rPr>
        <w:t>，学分</w:t>
      </w:r>
      <w:r>
        <w:rPr>
          <w:rFonts w:hint="eastAsia" w:ascii="宋体" w:hAnsi="宋体" w:eastAsia="宋体" w:cs="Times New Roman"/>
          <w:b/>
          <w:color w:val="auto"/>
          <w:sz w:val="24"/>
          <w:szCs w:val="24"/>
          <w:highlight w:val="none"/>
          <w:lang w:val="en-US" w:eastAsia="zh-CN"/>
        </w:rPr>
        <w:t>61.5</w:t>
      </w:r>
      <w:r>
        <w:rPr>
          <w:rFonts w:hint="eastAsia" w:ascii="宋体" w:hAnsi="宋体" w:eastAsia="宋体" w:cs="Times New Roman"/>
          <w:b/>
          <w:color w:val="auto"/>
          <w:sz w:val="24"/>
          <w:szCs w:val="24"/>
          <w:highlight w:val="none"/>
        </w:rPr>
        <w:t>）</w:t>
      </w:r>
    </w:p>
    <w:p>
      <w:pPr>
        <w:spacing w:line="500" w:lineRule="exact"/>
        <w:ind w:firstLine="843" w:firstLineChars="350"/>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表4 中高职贯通培养三二分段中药学公共基础课程</w:t>
      </w:r>
    </w:p>
    <w:tbl>
      <w:tblPr>
        <w:tblStyle w:val="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678"/>
        <w:gridCol w:w="552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98" w:type="dxa"/>
            <w:noWrap w:val="0"/>
            <w:vAlign w:val="center"/>
          </w:tcPr>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678" w:type="dxa"/>
            <w:noWrap w:val="0"/>
            <w:vAlign w:val="center"/>
          </w:tcPr>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课程名称</w:t>
            </w:r>
          </w:p>
        </w:tc>
        <w:tc>
          <w:tcPr>
            <w:tcW w:w="5529" w:type="dxa"/>
            <w:noWrap w:val="0"/>
            <w:vAlign w:val="center"/>
          </w:tcPr>
          <w:p>
            <w:pPr>
              <w:ind w:firstLine="422" w:firstLineChars="20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主要教学内容和要求</w:t>
            </w:r>
          </w:p>
        </w:tc>
        <w:tc>
          <w:tcPr>
            <w:tcW w:w="708" w:type="dxa"/>
            <w:noWrap w:val="0"/>
            <w:vAlign w:val="center"/>
          </w:tcPr>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课时</w:t>
            </w:r>
          </w:p>
        </w:tc>
        <w:tc>
          <w:tcPr>
            <w:tcW w:w="709" w:type="dxa"/>
            <w:noWrap w:val="0"/>
            <w:vAlign w:val="center"/>
          </w:tcPr>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学</w:t>
            </w:r>
          </w:p>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职业生涯规划</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德育教学大纲》开设，旨在引导学生树立正确的职业理想和职业观念，学生能够根据社会需要和自身特点进行职业生涯规划。课程分成五大模块：职业生涯规划与职业理想；职业生涯发展条件与机遇；职业生涯发展目标与措施；职业生涯发展与就业、创业；职业生涯规划管理与调整。通过课堂体验、活动探索形成生涯规划能力，树立正确的职业观、择业观和成才观。</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职业道德与法律</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德育教学大纲》开设，从了解文明礼仪开始，循序渐进地陶冶学生的道德情操，增强职业道德意识和法治观念，指导学生掌握与日常生活和职业活动密切相关的法律常识。教学中注重引导学生合作探究和实践学习，坚持贴近学生、贴近职业、贴近社会，增强德育教育的针对性、主动性和时代感，做到理论与实际相结合，知、信、行相统一。</w:t>
            </w:r>
          </w:p>
        </w:tc>
        <w:tc>
          <w:tcPr>
            <w:tcW w:w="708" w:type="dxa"/>
            <w:noWrap w:val="0"/>
            <w:vAlign w:val="center"/>
          </w:tcPr>
          <w:p>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709" w:type="dxa"/>
            <w:noWrap w:val="0"/>
            <w:vAlign w:val="center"/>
          </w:tcPr>
          <w:p>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经济政治与社会</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德育教学大纲》开设，从商品的交换与消费切入，透视企业的生产与经营个人的收入与理财相关的经济现象；站在社会主义的基本经济制度和社会主义市场经济的立场上，坚持对外开放的基本国策，投身到小康的经济建设中；了解我国民主政治的发展道路，拥护社会主义政治制度；做到参与政治生活，依法行使民主权利，履行义务、承担责任，关注改善民生和国际社会、维护国家利益，明白建设和谐社会人人有责。</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678" w:type="dxa"/>
            <w:noWrap w:val="0"/>
            <w:vAlign w:val="center"/>
          </w:tcPr>
          <w:p>
            <w:pPr>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哲学与人生</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德育教学大纲》开设，旨在运用唯物论原理，鼓励学生坚持从客观实际发展，脚踏实地在人生路上自强不息地行动。学生能用普遍联系、发展变化和矛盾观点辩证看问题，树立积极的人生态度；能坚持认识和实践的统一，懂得透过现象认识本质，提高明辨是非的人生发展能力；能做到顺应历史潮流，在掌握历史规律的基础上，清晰人的本质与利己利他的关系，凭着理想信念与意志责任，在社会劳动奉献中发展自我，创造人生价值，实现人的全面发展与个性自由。</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语文应用基础</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语文教学大纲》开设。要求学生掌握语文基础知识，掌握日常生活和职业岗位需要的现代文阅读能力、写作能力、口语交际能力，具有初步的文学作品欣赏能力和浅易文言文阅读能力。本课程设置语文综合实践活动，通过创设生活情境和职业情境，提高学生综合运用知识、技能、方法的能力。学生掌握基本的语文学习方法，养成自学和运用语文的良好习惯。</w:t>
            </w:r>
            <w:bookmarkStart w:id="0" w:name="_Hlk388273517"/>
            <w:r>
              <w:rPr>
                <w:rFonts w:hint="eastAsia" w:ascii="宋体" w:hAnsi="宋体" w:eastAsia="宋体" w:cs="宋体"/>
                <w:color w:val="auto"/>
                <w:sz w:val="21"/>
                <w:szCs w:val="21"/>
                <w:highlight w:val="none"/>
              </w:rPr>
              <w:t>加强阅读与鉴赏经典作品的欣赏能力与基础写作能力，为学生的继续发展服务。</w:t>
            </w:r>
            <w:bookmarkEnd w:id="0"/>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医学英语</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课程依据《中等职业学校英语教学大纲》开设，以满足各专业学生就业与升学需求为目标，以融合文化素养、职业技能、语言知识为原则，巩固与延续初中基础英语知识，培养学生听、说、读、写技能，并初步形成日常生活和职业场景的英语应用能力。能听懂和说出简单指令；能读懂简单的应用文及进行简单写作；能理解语法项目的形式与意义，并应用于交际任务；能在交流中做到语音、语调基本达意。</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 xml:space="preserve">数学 </w:t>
            </w:r>
          </w:p>
        </w:tc>
        <w:tc>
          <w:tcPr>
            <w:tcW w:w="5529" w:type="dxa"/>
            <w:noWrap w:val="0"/>
            <w:vAlign w:val="top"/>
          </w:tcPr>
          <w:p>
            <w:pP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课程依据《中等职业学校数学教学大纲》开设，要求学生掌握必要的数学基础知识，培养观察能力、空间想象能力、分析与解决问题能力和数学思维能力，为学习专业知识、掌握职业技能、继续学习和终身发展奠定基础。教学内容由基础模块与拓展模块两个部分构成：基础模块包括集合、不等式、函数、指数函数与对数函数、三角函数、数列、平面向量、直线和圆的方程、立体几何（选学）、概率与统计初步（选学）；拓展模块包括：三角公式及应用、平面解析几何（椭圆、双曲线、抛物线）、概率与统计。</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5" w:hRule="atLeast"/>
        </w:trPr>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体育与健康</w:t>
            </w:r>
          </w:p>
        </w:tc>
        <w:tc>
          <w:tcPr>
            <w:tcW w:w="5529" w:type="dxa"/>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本课程依据《中等职业学校体育与健康教学大纲》开设，以树立“健康第一”为指导思想，传授体育与健康的基本文化知识、体育技能和方法。学生掌握两项以上体育技能, 通过参与集体性体育活动，培养良好的人际关系和合作精神。学习与职业生涯相关的体育运动项目，认识体育对提高就业和创业能力的价值，提高综合职业素质，养成终身从事体育锻炼的意识、能力与习惯，提高生活质量，为全面促进学生身体健康、心理健康和社会适应能力服务。</w:t>
            </w:r>
          </w:p>
        </w:tc>
        <w:tc>
          <w:tcPr>
            <w:tcW w:w="708"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w:t>
            </w:r>
          </w:p>
        </w:tc>
        <w:tc>
          <w:tcPr>
            <w:tcW w:w="709"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信息技术基础</w:t>
            </w:r>
          </w:p>
        </w:tc>
        <w:tc>
          <w:tcPr>
            <w:tcW w:w="5529" w:type="dxa"/>
            <w:noWrap w:val="0"/>
            <w:vAlign w:val="top"/>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课程依据《中等职业学校计算机基础教学大纲》开设，要求学生学习计算机基础知识、Windows桌面操作系统的功能及使用、办公软件的使用、计算机网络的基础知识及使用。通过学习，掌握计算机操作的基本技能，具有常用的文字处理能力、常用的数据处理能力和一定的演示文稿处理能力，具有一定的信息获取、整理、加工能力和网上交互能力，为以后的学习和工作打下基础。</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军事理论与军事技能</w:t>
            </w:r>
          </w:p>
        </w:tc>
        <w:tc>
          <w:tcPr>
            <w:tcW w:w="5529" w:type="dxa"/>
            <w:noWrap w:val="0"/>
            <w:vAlign w:val="top"/>
          </w:tcPr>
          <w:p>
            <w:pPr>
              <w:pStyle w:val="7"/>
              <w:spacing w:line="360" w:lineRule="auto"/>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SA"/>
              </w:rPr>
              <w:t>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目的。</w:t>
            </w:r>
          </w:p>
        </w:tc>
        <w:tc>
          <w:tcPr>
            <w:tcW w:w="70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148</w:t>
            </w:r>
          </w:p>
        </w:tc>
        <w:tc>
          <w:tcPr>
            <w:tcW w:w="709"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国家安全教育</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tc>
        <w:tc>
          <w:tcPr>
            <w:tcW w:w="70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709"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思想道德</w:t>
            </w:r>
          </w:p>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与法治</w:t>
            </w:r>
          </w:p>
        </w:tc>
        <w:tc>
          <w:tcPr>
            <w:tcW w:w="5529" w:type="dxa"/>
            <w:noWrap w:val="0"/>
            <w:vAlign w:val="center"/>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课程是高校思想政治理论课的必修课程，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pPr>
              <w:rPr>
                <w:rFonts w:hint="eastAsia" w:ascii="宋体" w:hAnsi="宋体" w:eastAsia="宋体" w:cs="宋体"/>
                <w:bCs/>
                <w:color w:val="auto"/>
                <w:sz w:val="21"/>
                <w:szCs w:val="21"/>
                <w:highlight w:val="none"/>
              </w:rPr>
            </w:pP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毛泽东思想和中国特色社会主义理论体系概论</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课程主要对学生进行中国特色社会主义理论与实践教育，使学生能够正确地理解和掌握毛泽东思想、中国特色社会主义理论的科学体系、精神实质和立场、观点、方法，树立建设中国特色社会主义的坚定信念，培养运用马克思主义的立场、观点和方法分析和解决问题的能力，增强执行党的基本路线和基本纲领的自觉性和坚定性，积极投身全面建设小康社会的伟大实践。</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98" w:type="dxa"/>
            <w:noWrap w:val="0"/>
            <w:vAlign w:val="center"/>
          </w:tcPr>
          <w:p>
            <w:pPr>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14</w:t>
            </w:r>
          </w:p>
        </w:tc>
        <w:tc>
          <w:tcPr>
            <w:tcW w:w="1678" w:type="dxa"/>
            <w:noWrap w:val="0"/>
            <w:vAlign w:val="center"/>
          </w:tcPr>
          <w:p>
            <w:pPr>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形势与</w:t>
            </w:r>
          </w:p>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政策</w:t>
            </w:r>
          </w:p>
        </w:tc>
        <w:tc>
          <w:tcPr>
            <w:tcW w:w="5529" w:type="dxa"/>
            <w:noWrap w:val="0"/>
            <w:vAlign w:val="center"/>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放和社会主义现代化建设形势、任务和发展成就教党和国家重大方针政策、重大活动和重大改革措施的教育。</w:t>
            </w:r>
          </w:p>
          <w:p>
            <w:pPr>
              <w:rPr>
                <w:rFonts w:hint="eastAsia" w:ascii="宋体" w:hAnsi="宋体" w:eastAsia="宋体" w:cs="宋体"/>
                <w:bCs/>
                <w:color w:val="auto"/>
                <w:sz w:val="21"/>
                <w:szCs w:val="21"/>
                <w:highlight w:val="none"/>
              </w:rPr>
            </w:pP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马克思主义中国化进程与青年学生使命担当</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tc>
        <w:tc>
          <w:tcPr>
            <w:tcW w:w="708" w:type="dxa"/>
            <w:noWrap w:val="0"/>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24</w:t>
            </w:r>
          </w:p>
        </w:tc>
        <w:tc>
          <w:tcPr>
            <w:tcW w:w="709"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计算机应用基础</w:t>
            </w:r>
          </w:p>
        </w:tc>
        <w:tc>
          <w:tcPr>
            <w:tcW w:w="5529" w:type="dxa"/>
            <w:noWrap w:val="0"/>
            <w:vAlign w:val="top"/>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中职计算机应用基础课程基础上，进一步学习计算机、计算机网络、信息安全等方面的基础知识和办公软件高级应用，学习多媒体基础知识及使用、网页基础知识及使用。通过学习，提高计算机应用综合素养，提高办公软件高级应用技能，具有简单处理图像、声音、视频等多媒体的能力，简单的静态网页制作与发布能力。</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大学英语</w:t>
            </w:r>
          </w:p>
        </w:tc>
        <w:tc>
          <w:tcPr>
            <w:tcW w:w="5529" w:type="dxa"/>
            <w:noWrap w:val="0"/>
            <w:vAlign w:val="center"/>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课程以培养学生实际应用英语的能力为目标，侧重职场环境下语言交际能力的培养，使学生逐步提高用英语进行交流与沟通的能力。同时让学生能达到“全国高等学校英语能力考试A级或B级”的水平。使学生掌握有效的学习方法和策略，培养学生的学习兴趣和自主学习能力，提高学生的综合文化素养和跨文化交际意识，为提升学生的就业竞争力及未来的可持续发展打下必要的基础。</w:t>
            </w:r>
          </w:p>
        </w:tc>
        <w:tc>
          <w:tcPr>
            <w:tcW w:w="708" w:type="dxa"/>
            <w:noWrap w:val="0"/>
            <w:vAlign w:val="center"/>
          </w:tcPr>
          <w:p>
            <w:pPr>
              <w:jc w:val="center"/>
              <w:rPr>
                <w:rFonts w:hint="eastAsia" w:ascii="宋体" w:hAnsi="宋体" w:eastAsia="宋体" w:cs="宋体"/>
                <w:color w:val="auto"/>
                <w:sz w:val="21"/>
                <w:szCs w:val="21"/>
                <w:highlight w:val="none"/>
              </w:rPr>
            </w:pPr>
          </w:p>
        </w:tc>
        <w:tc>
          <w:tcPr>
            <w:tcW w:w="709" w:type="dxa"/>
            <w:noWrap w:val="0"/>
            <w:vAlign w:val="center"/>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大学生</w:t>
            </w:r>
          </w:p>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心理健康</w:t>
            </w:r>
            <w:r>
              <w:rPr>
                <w:rFonts w:hint="eastAsia" w:ascii="宋体" w:hAnsi="宋体" w:eastAsia="宋体" w:cs="宋体"/>
                <w:bCs/>
                <w:color w:val="auto"/>
                <w:kern w:val="0"/>
                <w:sz w:val="21"/>
                <w:szCs w:val="21"/>
                <w:highlight w:val="none"/>
                <w:lang w:val="en-US" w:eastAsia="zh-CN"/>
              </w:rPr>
              <w:t xml:space="preserve"> </w:t>
            </w:r>
          </w:p>
        </w:tc>
        <w:tc>
          <w:tcPr>
            <w:tcW w:w="5529" w:type="dxa"/>
            <w:noWrap w:val="0"/>
            <w:vAlign w:val="center"/>
          </w:tcPr>
          <w:p>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心理健康教育是一门通识教育课，是心理学理论的具体应用与操作，是一门实用学科。该课程是面向全校学生的公共必修课。通过本课程的学习，贯彻以人为本的科学发展观，推进素质教育，增强大学生思想政治教育的实效性，促进学生个性健全发展，充分挖掘大学生的心理潜能，培养其良好的心理素质，促进人格和谐发展，增强他们的社会适应能力，从而最大限度的实现其人生价值。</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创新创业教育</w:t>
            </w:r>
          </w:p>
        </w:tc>
        <w:tc>
          <w:tcPr>
            <w:tcW w:w="5529" w:type="dxa"/>
            <w:noWrap w:val="0"/>
            <w:vAlign w:val="top"/>
          </w:tcPr>
          <w:p>
            <w:pPr>
              <w:pStyle w:val="7"/>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pPr>
              <w:rPr>
                <w:rFonts w:hint="eastAsia" w:ascii="宋体" w:hAnsi="宋体" w:eastAsia="宋体" w:cs="宋体"/>
                <w:bCs/>
                <w:color w:val="auto"/>
                <w:sz w:val="21"/>
                <w:szCs w:val="21"/>
                <w:highlight w:val="none"/>
              </w:rPr>
            </w:pP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678" w:type="dxa"/>
            <w:noWrap w:val="0"/>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劳动</w:t>
            </w:r>
            <w:r>
              <w:rPr>
                <w:rFonts w:hint="eastAsia" w:ascii="宋体" w:hAnsi="宋体" w:eastAsia="宋体" w:cs="宋体"/>
                <w:bCs/>
                <w:color w:val="auto"/>
                <w:kern w:val="0"/>
                <w:sz w:val="21"/>
                <w:szCs w:val="21"/>
                <w:highlight w:val="none"/>
              </w:rPr>
              <w:t>教育</w:t>
            </w:r>
          </w:p>
        </w:tc>
        <w:tc>
          <w:tcPr>
            <w:tcW w:w="5529" w:type="dxa"/>
            <w:noWrap w:val="0"/>
            <w:vAlign w:val="top"/>
          </w:tcPr>
          <w:p>
            <w:pPr>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pPr>
              <w:ind w:firstLine="420" w:firstLineChars="200"/>
              <w:rPr>
                <w:rFonts w:hint="eastAsia" w:ascii="宋体" w:hAnsi="宋体" w:eastAsia="宋体" w:cs="宋体"/>
                <w:bCs/>
                <w:color w:val="auto"/>
                <w:sz w:val="21"/>
                <w:szCs w:val="21"/>
                <w:highlight w:val="none"/>
              </w:rPr>
            </w:pP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9"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bl>
    <w:p>
      <w:pPr>
        <w:rPr>
          <w:rFonts w:hint="eastAsia" w:ascii="宋体" w:hAnsi="宋体" w:eastAsia="宋体" w:cs="Times New Roman"/>
          <w:b/>
          <w:color w:val="auto"/>
          <w:sz w:val="24"/>
          <w:szCs w:val="24"/>
          <w:highlight w:val="none"/>
        </w:rPr>
      </w:pPr>
    </w:p>
    <w:p>
      <w:pP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2．专业基础模块（课时</w:t>
      </w:r>
      <w:r>
        <w:rPr>
          <w:rFonts w:hint="eastAsia" w:ascii="宋体" w:hAnsi="宋体" w:eastAsia="宋体" w:cs="Times New Roman"/>
          <w:b/>
          <w:color w:val="auto"/>
          <w:sz w:val="24"/>
          <w:szCs w:val="24"/>
          <w:highlight w:val="none"/>
          <w:lang w:val="en-US" w:eastAsia="zh-CN"/>
        </w:rPr>
        <w:t>532</w:t>
      </w:r>
      <w:r>
        <w:rPr>
          <w:rFonts w:hint="eastAsia" w:ascii="宋体" w:hAnsi="宋体" w:eastAsia="宋体" w:cs="Times New Roman"/>
          <w:b/>
          <w:color w:val="auto"/>
          <w:sz w:val="24"/>
          <w:szCs w:val="24"/>
          <w:highlight w:val="none"/>
        </w:rPr>
        <w:t>，学分</w:t>
      </w:r>
      <w:r>
        <w:rPr>
          <w:rFonts w:hint="eastAsia" w:ascii="宋体" w:hAnsi="宋体" w:eastAsia="宋体" w:cs="Times New Roman"/>
          <w:b/>
          <w:color w:val="auto"/>
          <w:sz w:val="24"/>
          <w:szCs w:val="24"/>
          <w:highlight w:val="none"/>
          <w:lang w:val="en-US" w:eastAsia="zh-CN"/>
        </w:rPr>
        <w:t>34.0</w:t>
      </w:r>
      <w:r>
        <w:rPr>
          <w:rFonts w:hint="eastAsia" w:ascii="宋体" w:hAnsi="宋体" w:eastAsia="宋体" w:cs="Times New Roman"/>
          <w:b/>
          <w:color w:val="auto"/>
          <w:sz w:val="24"/>
          <w:szCs w:val="24"/>
          <w:highlight w:val="none"/>
        </w:rPr>
        <w:t>）</w:t>
      </w:r>
    </w:p>
    <w:p>
      <w:pPr>
        <w:adjustRightInd w:val="0"/>
        <w:snapToGrid w:val="0"/>
        <w:jc w:val="center"/>
        <w:rPr>
          <w:rFonts w:hint="eastAsia" w:ascii="宋体" w:hAnsi="宋体" w:eastAsia="宋体" w:cs="Times New Roman"/>
          <w:b/>
          <w:color w:val="auto"/>
          <w:sz w:val="24"/>
          <w:szCs w:val="24"/>
          <w:highlight w:val="none"/>
        </w:rPr>
      </w:pPr>
    </w:p>
    <w:p>
      <w:pPr>
        <w:adjustRightInd w:val="0"/>
        <w:snapToGrid w:val="0"/>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表5 </w:t>
      </w:r>
      <w:r>
        <w:rPr>
          <w:rFonts w:ascii="宋体" w:hAnsi="宋体" w:eastAsia="宋体" w:cs="Times New Roman"/>
          <w:b/>
          <w:color w:val="auto"/>
          <w:sz w:val="24"/>
          <w:szCs w:val="24"/>
          <w:highlight w:val="none"/>
        </w:rPr>
        <w:t>中</w:t>
      </w:r>
      <w:r>
        <w:rPr>
          <w:rFonts w:hint="eastAsia" w:ascii="宋体" w:hAnsi="宋体" w:eastAsia="宋体" w:cs="Times New Roman"/>
          <w:b/>
          <w:color w:val="auto"/>
          <w:sz w:val="24"/>
          <w:szCs w:val="24"/>
          <w:highlight w:val="none"/>
        </w:rPr>
        <w:t>高职贯通培养三二分段中药学专业基础课程</w:t>
      </w:r>
    </w:p>
    <w:tbl>
      <w:tblPr>
        <w:tblStyle w:val="3"/>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671"/>
        <w:gridCol w:w="5500"/>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序号</w:t>
            </w:r>
          </w:p>
        </w:tc>
        <w:tc>
          <w:tcPr>
            <w:tcW w:w="1671"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课程名称</w:t>
            </w:r>
          </w:p>
        </w:tc>
        <w:tc>
          <w:tcPr>
            <w:tcW w:w="5500"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主要教学内容和要求</w:t>
            </w:r>
          </w:p>
        </w:tc>
        <w:tc>
          <w:tcPr>
            <w:tcW w:w="567"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课时</w:t>
            </w:r>
          </w:p>
        </w:tc>
        <w:tc>
          <w:tcPr>
            <w:tcW w:w="708" w:type="dxa"/>
            <w:noWrap w:val="0"/>
            <w:vAlign w:val="top"/>
          </w:tcPr>
          <w:p>
            <w:pPr>
              <w:adjustRightInd w:val="0"/>
              <w:snapToGrid w:val="0"/>
              <w:spacing w:before="62" w:beforeLines="2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学</w:t>
            </w:r>
          </w:p>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职业礼仪</w:t>
            </w:r>
          </w:p>
        </w:tc>
        <w:tc>
          <w:tcPr>
            <w:tcW w:w="550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职业礼仪</w:t>
            </w:r>
            <w:r>
              <w:rPr>
                <w:rFonts w:ascii="宋体" w:hAnsi="宋体" w:eastAsia="宋体" w:cs="宋体"/>
                <w:color w:val="auto"/>
                <w:sz w:val="21"/>
                <w:szCs w:val="21"/>
                <w:highlight w:val="none"/>
              </w:rPr>
              <w:t>使学习者在社会生活实践乃至职业生涯中，树立良好的</w:t>
            </w:r>
            <w:r>
              <w:rPr>
                <w:rFonts w:ascii="宋体" w:hAnsi="宋体" w:eastAsia="宋体" w:cs="宋体"/>
                <w:color w:val="auto"/>
                <w:sz w:val="21"/>
                <w:szCs w:val="21"/>
                <w:highlight w:val="none"/>
              </w:rPr>
              <w:fldChar w:fldCharType="begin"/>
            </w:r>
            <w:r>
              <w:rPr>
                <w:rFonts w:ascii="宋体" w:hAnsi="宋体" w:eastAsia="宋体" w:cs="宋体"/>
                <w:color w:val="auto"/>
                <w:sz w:val="21"/>
                <w:szCs w:val="21"/>
                <w:highlight w:val="none"/>
              </w:rPr>
              <w:instrText xml:space="preserve"> HYPERLINK "https://baike.baidu.com/item/%E8%81%8C%E4%B8%9A%E5%BD%A2%E8%B1%A1" \t "_blank" </w:instrText>
            </w:r>
            <w:r>
              <w:rPr>
                <w:rFonts w:ascii="宋体" w:hAnsi="宋体" w:eastAsia="宋体" w:cs="宋体"/>
                <w:color w:val="auto"/>
                <w:sz w:val="21"/>
                <w:szCs w:val="21"/>
                <w:highlight w:val="none"/>
              </w:rPr>
              <w:fldChar w:fldCharType="separate"/>
            </w:r>
            <w:r>
              <w:rPr>
                <w:rFonts w:ascii="宋体" w:hAnsi="宋体" w:eastAsia="宋体" w:cs="宋体"/>
                <w:color w:val="auto"/>
                <w:sz w:val="21"/>
                <w:szCs w:val="21"/>
                <w:highlight w:val="none"/>
              </w:rPr>
              <w:t>职业形象</w:t>
            </w:r>
            <w:r>
              <w:rPr>
                <w:rFonts w:ascii="宋体" w:hAnsi="宋体" w:eastAsia="宋体" w:cs="宋体"/>
                <w:color w:val="auto"/>
                <w:sz w:val="21"/>
                <w:szCs w:val="21"/>
                <w:highlight w:val="none"/>
              </w:rPr>
              <w:fldChar w:fldCharType="end"/>
            </w:r>
            <w:r>
              <w:rPr>
                <w:rFonts w:ascii="宋体" w:hAnsi="宋体" w:eastAsia="宋体" w:cs="宋体"/>
                <w:color w:val="auto"/>
                <w:sz w:val="21"/>
                <w:szCs w:val="21"/>
                <w:highlight w:val="none"/>
              </w:rPr>
              <w:t>，展示良好的人际沟通能力；内强素质，外塑形象，增强工作能力，增强职业竞争能力，获得成功的从业感受和愉快的生活体验，实现个人和所在组织的双赢，进而促进社会文明的发展。</w:t>
            </w:r>
          </w:p>
        </w:tc>
        <w:tc>
          <w:tcPr>
            <w:tcW w:w="567" w:type="dxa"/>
            <w:noWrap w:val="0"/>
            <w:vAlign w:val="center"/>
          </w:tcPr>
          <w:p>
            <w:pPr>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保健品基础</w:t>
            </w:r>
          </w:p>
        </w:tc>
        <w:tc>
          <w:tcPr>
            <w:tcW w:w="550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要求学生了解保健品原料，熟悉保健品的相关法规，掌握保健品的基本分类、功效及成分。</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32</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无机化学</w:t>
            </w:r>
            <w:r>
              <w:rPr>
                <w:rFonts w:ascii="宋体" w:hAnsi="宋体" w:eastAsia="宋体" w:cs="宋体"/>
                <w:color w:val="auto"/>
                <w:sz w:val="21"/>
                <w:szCs w:val="21"/>
                <w:highlight w:val="none"/>
              </w:rPr>
              <w:t>基础</w:t>
            </w:r>
          </w:p>
        </w:tc>
        <w:tc>
          <w:tcPr>
            <w:tcW w:w="550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要求学生了解无机物质的类型，常用的无机药物的基本特征、结构特征、性质及作用，常用的仪器分析方法；熟悉缓冲溶液的组成及其应用，掌握常见电解质盐酸、硫酸、硝酸、醋酸、氢氧化钠、氯化铵、碳酸钠、氯化钠等溶液酸性、碱性产生的原因,熟悉电离平衡、氧化还原平衡、沉淀平衡和质子理论。</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有机化学基础</w:t>
            </w:r>
          </w:p>
        </w:tc>
        <w:tc>
          <w:tcPr>
            <w:tcW w:w="550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掌握与化学有关的有机化学基本知识、基本原理及基本实验技能，掌握各类有机化合物（羧酸衍生物、芳酸类、取代的胺类、芳胺类）的结构，尤其是官能团的结构特征以及有机化合物的结构与性质之间的相互关系，熟悉构型（手性、旋光性、对映体和消旋体等概念），了解各种化学基本理论（加成反应、取代反应和消除反应的理论），具有分析和解决化学实际问题的能力。</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中医学</w:t>
            </w:r>
            <w:r>
              <w:rPr>
                <w:rFonts w:ascii="宋体" w:hAnsi="宋体" w:eastAsia="宋体" w:cs="宋体"/>
                <w:color w:val="auto"/>
                <w:sz w:val="21"/>
                <w:szCs w:val="21"/>
                <w:highlight w:val="none"/>
              </w:rPr>
              <w:t>基础</w:t>
            </w:r>
          </w:p>
        </w:tc>
        <w:tc>
          <w:tcPr>
            <w:tcW w:w="550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Times New Roman"/>
                <w:color w:val="auto"/>
                <w:sz w:val="21"/>
                <w:szCs w:val="21"/>
                <w:highlight w:val="none"/>
              </w:rPr>
              <w:t>通过学习掌握中医学基本理论体系的哲学特点如阴阳五行、八纲辨证等，了解中医学理论体系的形成及发展概况，掌握五脏六腑及气血津液的主要生理功能 、经络的基本概念及经络系统的组成，掌握望、闻、问、切四诊的概念及其原理，要求能初步运用八纲辨证和脏腑辨证的方法分析常见病证。</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64</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1671" w:type="dxa"/>
            <w:noWrap w:val="0"/>
            <w:vAlign w:val="center"/>
          </w:tcPr>
          <w:p>
            <w:pPr>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正常人体学基础</w:t>
            </w:r>
          </w:p>
        </w:tc>
        <w:tc>
          <w:tcPr>
            <w:tcW w:w="550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讲授人体细胞、组织、器官、系统、人体整体功能活动的规律，以及人体与环境相互作用，使学生认识人体器官系统的基本功能，人体技能与结构，技能活动的整体性及机能与环境的统一关系。</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64</w:t>
            </w:r>
          </w:p>
        </w:tc>
        <w:tc>
          <w:tcPr>
            <w:tcW w:w="708" w:type="dxa"/>
            <w:noWrap w:val="0"/>
            <w:vAlign w:val="center"/>
          </w:tcPr>
          <w:p>
            <w:pPr>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疾病概要</w:t>
            </w:r>
          </w:p>
        </w:tc>
        <w:tc>
          <w:tcPr>
            <w:tcW w:w="550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通过学习，了解免疫学的基本概念，掌握免疫学、病原微生物、人体寄生虫的基本内容。熟悉健康和疾病的概念，掌握基本病理过程及常见疾病的基本病理知识。</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52</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8</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药用植物学</w:t>
            </w:r>
          </w:p>
        </w:tc>
        <w:tc>
          <w:tcPr>
            <w:tcW w:w="550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Times New Roman"/>
                <w:color w:val="auto"/>
                <w:sz w:val="21"/>
                <w:szCs w:val="21"/>
                <w:highlight w:val="none"/>
              </w:rPr>
              <w:t>掌握药用植物的基本概念、形态结构特征， 掌握药用植物的重点科和代表植物特征，能熟练使用显微镜辨别药用植物的各种组织及后含物特征，能利用药用植物的基本知识辨析200种常用药用植物，具备熟练制作临时标本片的能力，能利用检索表对常见植物进行检索，能制作药用植物蜡叶标本。</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72</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9</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病原生物与免疫学基础</w:t>
            </w:r>
          </w:p>
        </w:tc>
        <w:tc>
          <w:tcPr>
            <w:tcW w:w="5500" w:type="dxa"/>
            <w:noWrap w:val="0"/>
            <w:vAlign w:val="center"/>
          </w:tcPr>
          <w:p>
            <w:pP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过学习掌握与医学有关的病源生物与免疫学基础的基本内容。包括医学微生物、免疫学基础和人体寄生虫三大部分。本课程的任务是使学生掌握此课程的基本理论和基本技能，为《药理与药物治疗学基础》和《疾病概要》等课程的学习奠定基础。</w:t>
            </w:r>
          </w:p>
        </w:tc>
        <w:tc>
          <w:tcPr>
            <w:tcW w:w="567"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36</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10</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药用基础化学</w:t>
            </w:r>
          </w:p>
        </w:tc>
        <w:tc>
          <w:tcPr>
            <w:tcW w:w="5500" w:type="dxa"/>
            <w:noWrap w:val="0"/>
            <w:vAlign w:val="center"/>
          </w:tcPr>
          <w:p>
            <w:pPr>
              <w:adjustRightInd w:val="0"/>
              <w:snapToGrid w:val="0"/>
              <w:spacing w:before="62" w:beforeLines="2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主要学习无机化学、化学分析和有机化学的基本理论和基本实验技能，掌握化学基础知识、化学分析基本方法、有机化学基础知识及基础化学实验技能，能够运用药用化学基础原理及方法对常见化学药品进行定性、定量分析，能够熟悉有机化学在药物设计、合成和构效中的作用，能了解化学分析方法在药物的检验、分析和使用中的作用，培养学生独立思考的学习能力和熟练的操作技能。</w:t>
            </w:r>
          </w:p>
          <w:p>
            <w:pPr>
              <w:adjustRightInd w:val="0"/>
              <w:snapToGrid w:val="0"/>
              <w:spacing w:before="62" w:beforeLines="20"/>
              <w:jc w:val="left"/>
              <w:rPr>
                <w:rFonts w:hint="eastAsia" w:ascii="宋体" w:hAnsi="宋体" w:eastAsia="宋体" w:cs="Times New Roman"/>
                <w:color w:val="auto"/>
                <w:sz w:val="21"/>
                <w:szCs w:val="21"/>
                <w:highlight w:val="none"/>
              </w:rPr>
            </w:pPr>
          </w:p>
        </w:tc>
        <w:tc>
          <w:tcPr>
            <w:tcW w:w="567" w:type="dxa"/>
            <w:noWrap w:val="0"/>
            <w:vAlign w:val="center"/>
          </w:tcPr>
          <w:p>
            <w:pPr>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64</w:t>
            </w:r>
          </w:p>
        </w:tc>
        <w:tc>
          <w:tcPr>
            <w:tcW w:w="708" w:type="dxa"/>
            <w:noWrap w:val="0"/>
            <w:vAlign w:val="center"/>
          </w:tcPr>
          <w:p>
            <w:pPr>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4" w:type="dxa"/>
            <w:noWrap w:val="0"/>
            <w:vAlign w:val="center"/>
          </w:tcPr>
          <w:p>
            <w:pPr>
              <w:adjustRightInd w:val="0"/>
              <w:snapToGrid w:val="0"/>
              <w:spacing w:before="62" w:beforeLines="2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11</w:t>
            </w:r>
          </w:p>
        </w:tc>
        <w:tc>
          <w:tcPr>
            <w:tcW w:w="167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药事管理与法规</w:t>
            </w:r>
          </w:p>
        </w:tc>
        <w:tc>
          <w:tcPr>
            <w:tcW w:w="5500" w:type="dxa"/>
            <w:noWrap w:val="0"/>
            <w:vAlign w:val="center"/>
          </w:tcPr>
          <w:p>
            <w:pPr>
              <w:adjustRightInd w:val="0"/>
              <w:snapToGrid w:val="0"/>
              <w:spacing w:before="62" w:beforeLines="2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过本课程的学习，学生掌握药品管理法及实施条例的内容、药事管理体制与组织机构、药品注册管理、药品使用管理、特殊管理药品和管理办法，了解中药管理的有关规定以及医药知识产权保护、医疗器械管理的相关知识。</w:t>
            </w:r>
          </w:p>
          <w:p>
            <w:pPr>
              <w:adjustRightInd w:val="0"/>
              <w:snapToGrid w:val="0"/>
              <w:spacing w:before="62" w:beforeLines="20"/>
              <w:jc w:val="left"/>
              <w:rPr>
                <w:rFonts w:hint="eastAsia" w:ascii="宋体" w:hAnsi="宋体" w:eastAsia="宋体" w:cs="Times New Roman"/>
                <w:color w:val="auto"/>
                <w:sz w:val="21"/>
                <w:szCs w:val="21"/>
                <w:highlight w:val="none"/>
              </w:rPr>
            </w:pPr>
          </w:p>
        </w:tc>
        <w:tc>
          <w:tcPr>
            <w:tcW w:w="567" w:type="dxa"/>
            <w:noWrap w:val="0"/>
            <w:vAlign w:val="center"/>
          </w:tcPr>
          <w:p>
            <w:pPr>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16</w:t>
            </w:r>
          </w:p>
        </w:tc>
        <w:tc>
          <w:tcPr>
            <w:tcW w:w="708" w:type="dxa"/>
            <w:noWrap w:val="0"/>
            <w:vAlign w:val="center"/>
          </w:tcPr>
          <w:p>
            <w:pPr>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.0</w:t>
            </w:r>
          </w:p>
        </w:tc>
      </w:tr>
    </w:tbl>
    <w:p>
      <w:pPr>
        <w:jc w:val="left"/>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  </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3. 专业核心模块（课时</w:t>
      </w:r>
      <w:r>
        <w:rPr>
          <w:rFonts w:hint="eastAsia" w:ascii="宋体" w:hAnsi="宋体" w:eastAsia="宋体" w:cs="Times New Roman"/>
          <w:b/>
          <w:color w:val="auto"/>
          <w:sz w:val="24"/>
          <w:szCs w:val="24"/>
          <w:highlight w:val="none"/>
          <w:lang w:val="en-US" w:eastAsia="zh-CN"/>
        </w:rPr>
        <w:t>872</w:t>
      </w:r>
      <w:r>
        <w:rPr>
          <w:rFonts w:hint="eastAsia" w:ascii="宋体" w:hAnsi="宋体" w:eastAsia="宋体" w:cs="Times New Roman"/>
          <w:b/>
          <w:color w:val="auto"/>
          <w:sz w:val="24"/>
          <w:szCs w:val="24"/>
          <w:highlight w:val="none"/>
        </w:rPr>
        <w:t>，学分</w:t>
      </w:r>
      <w:r>
        <w:rPr>
          <w:rFonts w:hint="eastAsia" w:ascii="宋体" w:hAnsi="宋体" w:eastAsia="宋体" w:cs="Times New Roman"/>
          <w:b/>
          <w:color w:val="auto"/>
          <w:sz w:val="24"/>
          <w:szCs w:val="24"/>
          <w:highlight w:val="none"/>
          <w:lang w:val="en-US" w:eastAsia="zh-CN"/>
        </w:rPr>
        <w:t>56.0</w:t>
      </w:r>
      <w:r>
        <w:rPr>
          <w:rFonts w:hint="eastAsia" w:ascii="宋体" w:hAnsi="宋体" w:eastAsia="宋体" w:cs="Times New Roman"/>
          <w:b/>
          <w:color w:val="auto"/>
          <w:sz w:val="24"/>
          <w:szCs w:val="24"/>
          <w:highlight w:val="none"/>
        </w:rPr>
        <w:t>）</w:t>
      </w:r>
    </w:p>
    <w:p>
      <w:pPr>
        <w:adjustRightInd w:val="0"/>
        <w:snapToGrid w:val="0"/>
        <w:spacing w:line="500" w:lineRule="exact"/>
        <w:ind w:firstLine="200"/>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表6  </w:t>
      </w:r>
      <w:r>
        <w:rPr>
          <w:rFonts w:ascii="宋体" w:hAnsi="宋体" w:eastAsia="宋体" w:cs="Times New Roman"/>
          <w:b/>
          <w:color w:val="auto"/>
          <w:sz w:val="24"/>
          <w:szCs w:val="24"/>
          <w:highlight w:val="none"/>
        </w:rPr>
        <w:t>中</w:t>
      </w:r>
      <w:r>
        <w:rPr>
          <w:rFonts w:hint="eastAsia" w:ascii="宋体" w:hAnsi="宋体" w:eastAsia="宋体" w:cs="Times New Roman"/>
          <w:b/>
          <w:color w:val="auto"/>
          <w:sz w:val="24"/>
          <w:szCs w:val="24"/>
          <w:highlight w:val="none"/>
        </w:rPr>
        <w:t>高职贯通培养三二分段中药学专业核心课程</w:t>
      </w:r>
    </w:p>
    <w:tbl>
      <w:tblPr>
        <w:tblStyle w:val="3"/>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88"/>
        <w:gridCol w:w="5500"/>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588"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课程名称</w:t>
            </w:r>
          </w:p>
        </w:tc>
        <w:tc>
          <w:tcPr>
            <w:tcW w:w="5500"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主要教学内容和要求</w:t>
            </w:r>
          </w:p>
        </w:tc>
        <w:tc>
          <w:tcPr>
            <w:tcW w:w="567"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课时</w:t>
            </w:r>
          </w:p>
        </w:tc>
        <w:tc>
          <w:tcPr>
            <w:tcW w:w="708" w:type="dxa"/>
            <w:noWrap w:val="0"/>
            <w:vAlign w:val="top"/>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w:t>
            </w:r>
          </w:p>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中药学</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学习熟悉历代本草代表作及作者、成书年代、学术价值，掌握中药的性能（四气、五味、升降浮沉、归经）、配伍禁忌与用药禁忌等基本理论知识，掌握150种味常用中药的功效分类及其性味、归经、功效、主治、用法用量、使用注意等基本知识，熟悉90种常用中药的分类、功效和主要应用、某些特殊用法及使用注意，了解60种常用药物的功效、特殊用法及使用注意事项。</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中药药剂学</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学习熟悉各种常用剂型的工艺流程、操作要点和质量要求，熟悉粉碎、筛析与混合、无菌和无菌操作、浸提与固液分离、蒸馏、蒸发与干燥、各种常用辅料以及中药调剂的基本知识，了解药剂的分散、药剂的稳定性、有效性与安全性等基本知识，掌握常用剂型的制备技术，掌握中药调剂的基本操作技能，会正确使用中药调剂与制剂常用设备，能查阅药典等工具书，解决实际工作中常见的简单问题。</w:t>
            </w:r>
          </w:p>
        </w:tc>
        <w:tc>
          <w:tcPr>
            <w:tcW w:w="567"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方剂学</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通过本课程的学习，学生掌握100首基础方、代表方、常用方的组成、用法、功用、主治、配伍意义及加减应用，引导学生掌握方剂的组方原理、配伍的基本规律和技巧，从而培养学生具有分析、运用成方的能力。</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中成药的临床应用</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掌握300种基本中成药组成、功用、主治等内容，了解中成药的历史、发展概况以及中成药的分类方法， 能进行简单的处方分析。</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中药化学</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学生掌握常用中药提取方法及分析鉴别方法的基本操作技能，掌握中药中各种不同成分的提取、分离、鉴定方法，加深对理论课所讲内容的理解，培养学生的观察能力、动手能力、分析问题和解决问题的能力。</w:t>
            </w:r>
          </w:p>
        </w:tc>
        <w:tc>
          <w:tcPr>
            <w:tcW w:w="567"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中药鉴定技术</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学生掌握中药鉴定的基本概念、目的、依据、方法等基础知识，掌握中药性状鉴定和显微鉴定的必需理论知识，了解常用中药的来源、产地、采制、贮藏等基本知识，掌握300种常用中药的性状鉴定技术及显微鉴定的基本操作技术，掌握鉴定和研究中药品种和质量的基本操作技能。</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168</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中药炮制技术</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通过学习掌握中药炮制的目的、常用炮制方法、常用辅料及其应用要点等理论知识，熟悉常用中药炮制品的质量规格、炮制作用及炮制研究等，掌握常用炮制方法的基本操作技能。</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中药储存技术</w:t>
            </w:r>
          </w:p>
        </w:tc>
        <w:tc>
          <w:tcPr>
            <w:tcW w:w="5500" w:type="dxa"/>
            <w:noWrap w:val="0"/>
            <w:vAlign w:val="center"/>
          </w:tcPr>
          <w:p>
            <w:pPr>
              <w:adjustRightInd w:val="0"/>
              <w:snapToGrid w:val="0"/>
              <w:spacing w:before="62" w:beforeLines="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通过学习熟悉中药仓库的类型及出、入库管理制度，掌握中药储存见变质现象、中药储存与养护的基本要求及常用的储存养护技术。</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药事管理学基础</w:t>
            </w:r>
          </w:p>
        </w:tc>
        <w:tc>
          <w:tcPr>
            <w:tcW w:w="5500"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主要学习药品管理法及实施条例的内容、药事管理体制与组织机构、药品注册管理、药品使用管理、特殊管理药品和管理办法，了解中药管理的有关规定以及医药知识产权保护、医疗器械管理的相关知识。</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中药栽培技术</w:t>
            </w:r>
          </w:p>
        </w:tc>
        <w:tc>
          <w:tcPr>
            <w:tcW w:w="5500"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主要学习中药材栽培的基本理论知识、基本概念、基础栽培方法和技能，学习不同种类或药材传统和现代栽培技术，掌握中药材GAP的主要内容。</w:t>
            </w:r>
          </w:p>
        </w:tc>
        <w:tc>
          <w:tcPr>
            <w:tcW w:w="567"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药理与药物治疗学基础</w:t>
            </w:r>
          </w:p>
        </w:tc>
        <w:tc>
          <w:tcPr>
            <w:tcW w:w="5500"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通过学习掌握临床常用国家基本药物的药理作用、作用机制、临床用途和不良反应，了解药理实验的一般方法、技能及其他与工作岗位相适应的知识和技能。</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中药药理学</w:t>
            </w:r>
          </w:p>
        </w:tc>
        <w:tc>
          <w:tcPr>
            <w:tcW w:w="5500"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学生掌握中药药性的现代科学内涵及代表药功效主治的药理学基础、影响中药作用的因素，熟悉中药配伍、中药药效学、中药药动学、中药毒理学的研究方法。了解药理实验的一般方法、技能及其他与工作岗位相适应的知识和技能。</w:t>
            </w:r>
          </w:p>
        </w:tc>
        <w:tc>
          <w:tcPr>
            <w:tcW w:w="567" w:type="dxa"/>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adjustRightInd w:val="0"/>
              <w:snapToGrid w:val="0"/>
              <w:spacing w:before="62" w:beforeLines="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58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中药制剂检测技术</w:t>
            </w:r>
          </w:p>
        </w:tc>
        <w:tc>
          <w:tcPr>
            <w:tcW w:w="5500" w:type="dxa"/>
            <w:noWrap w:val="0"/>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通过本课程的学习，学生掌握中药制剂检验的基础知识、中药制剂质量和质量标准，具备熟练进行中药及制剂的鉴别、中药及制剂的杂质检查、中药及制剂的含量测定等基本操作技能。</w:t>
            </w:r>
          </w:p>
        </w:tc>
        <w:tc>
          <w:tcPr>
            <w:tcW w:w="56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w:t>
            </w:r>
          </w:p>
        </w:tc>
        <w:tc>
          <w:tcPr>
            <w:tcW w:w="70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r>
    </w:tbl>
    <w:p>
      <w:pPr>
        <w:ind w:firstLine="482" w:firstLineChars="200"/>
        <w:rPr>
          <w:rFonts w:ascii="宋体" w:hAnsi="宋体" w:eastAsia="宋体" w:cs="Times New Roman"/>
          <w:b/>
          <w:color w:val="auto"/>
          <w:sz w:val="24"/>
          <w:szCs w:val="24"/>
          <w:highlight w:val="none"/>
        </w:rPr>
      </w:pPr>
    </w:p>
    <w:p>
      <w:pPr>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4.专业技能模块（课时</w:t>
      </w:r>
      <w:r>
        <w:rPr>
          <w:rFonts w:hint="eastAsia" w:ascii="宋体" w:hAnsi="宋体" w:eastAsia="宋体" w:cs="Times New Roman"/>
          <w:b/>
          <w:color w:val="auto"/>
          <w:sz w:val="24"/>
          <w:szCs w:val="24"/>
          <w:highlight w:val="none"/>
          <w:lang w:val="en-US" w:eastAsia="zh-CN"/>
        </w:rPr>
        <w:t>94</w:t>
      </w:r>
      <w:r>
        <w:rPr>
          <w:rFonts w:hint="eastAsia" w:ascii="宋体" w:hAnsi="宋体" w:eastAsia="宋体" w:cs="Times New Roman"/>
          <w:b/>
          <w:color w:val="auto"/>
          <w:sz w:val="24"/>
          <w:szCs w:val="24"/>
          <w:highlight w:val="none"/>
        </w:rPr>
        <w:t>，学分</w:t>
      </w:r>
      <w:r>
        <w:rPr>
          <w:rFonts w:hint="eastAsia" w:ascii="宋体" w:hAnsi="宋体" w:eastAsia="宋体" w:cs="Times New Roman"/>
          <w:b/>
          <w:color w:val="auto"/>
          <w:sz w:val="24"/>
          <w:szCs w:val="24"/>
          <w:highlight w:val="none"/>
          <w:lang w:val="en-US" w:eastAsia="zh-CN"/>
        </w:rPr>
        <w:t>6</w:t>
      </w:r>
      <w:r>
        <w:rPr>
          <w:rFonts w:ascii="宋体" w:hAnsi="宋体" w:eastAsia="宋体" w:cs="Times New Roman"/>
          <w:b/>
          <w:color w:val="auto"/>
          <w:sz w:val="24"/>
          <w:szCs w:val="24"/>
          <w:highlight w:val="none"/>
        </w:rPr>
        <w:t>.5</w:t>
      </w:r>
      <w:r>
        <w:rPr>
          <w:rFonts w:hint="eastAsia" w:ascii="宋体" w:hAnsi="宋体" w:eastAsia="宋体" w:cs="Times New Roman"/>
          <w:b/>
          <w:color w:val="auto"/>
          <w:sz w:val="24"/>
          <w:szCs w:val="24"/>
          <w:highlight w:val="none"/>
        </w:rPr>
        <w:t>）</w:t>
      </w:r>
    </w:p>
    <w:p>
      <w:pPr>
        <w:adjustRightInd w:val="0"/>
        <w:snapToGrid w:val="0"/>
        <w:spacing w:line="500" w:lineRule="exact"/>
        <w:ind w:firstLine="482"/>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表7 </w:t>
      </w:r>
      <w:r>
        <w:rPr>
          <w:rFonts w:ascii="宋体" w:hAnsi="宋体" w:eastAsia="宋体" w:cs="Times New Roman"/>
          <w:b/>
          <w:color w:val="auto"/>
          <w:sz w:val="24"/>
          <w:szCs w:val="24"/>
          <w:highlight w:val="none"/>
        </w:rPr>
        <w:t>中</w:t>
      </w:r>
      <w:r>
        <w:rPr>
          <w:rFonts w:hint="eastAsia" w:ascii="宋体" w:hAnsi="宋体" w:eastAsia="宋体" w:cs="Times New Roman"/>
          <w:b/>
          <w:color w:val="auto"/>
          <w:sz w:val="24"/>
          <w:szCs w:val="24"/>
          <w:highlight w:val="none"/>
        </w:rPr>
        <w:t>高职贯通培养三二分段中药学专业技能课程</w:t>
      </w:r>
    </w:p>
    <w:tbl>
      <w:tblPr>
        <w:tblStyle w:val="3"/>
        <w:tblW w:w="92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559"/>
        <w:gridCol w:w="5581"/>
        <w:gridCol w:w="567"/>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05" w:hRule="atLeast"/>
          <w:tblHeader/>
          <w:jc w:val="center"/>
        </w:trPr>
        <w:tc>
          <w:tcPr>
            <w:tcW w:w="876"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序号</w:t>
            </w:r>
          </w:p>
        </w:tc>
        <w:tc>
          <w:tcPr>
            <w:tcW w:w="1559"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课程名称</w:t>
            </w:r>
          </w:p>
        </w:tc>
        <w:tc>
          <w:tcPr>
            <w:tcW w:w="5581" w:type="dxa"/>
            <w:noWrap w:val="0"/>
            <w:vAlign w:val="center"/>
          </w:tcPr>
          <w:p>
            <w:pPr>
              <w:jc w:val="center"/>
              <w:rPr>
                <w:rFonts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主要教学内容和要求</w:t>
            </w:r>
          </w:p>
        </w:tc>
        <w:tc>
          <w:tcPr>
            <w:tcW w:w="567" w:type="dxa"/>
            <w:noWrap w:val="0"/>
            <w:vAlign w:val="center"/>
          </w:tcPr>
          <w:p>
            <w:pPr>
              <w:jc w:val="center"/>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课时</w:t>
            </w:r>
          </w:p>
        </w:tc>
        <w:tc>
          <w:tcPr>
            <w:tcW w:w="656" w:type="dxa"/>
            <w:noWrap w:val="0"/>
            <w:vAlign w:val="center"/>
          </w:tcPr>
          <w:p>
            <w:pPr>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学</w:t>
            </w:r>
          </w:p>
          <w:p>
            <w:pPr>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76" w:type="dxa"/>
            <w:noWrap w:val="0"/>
            <w:vAlign w:val="center"/>
          </w:tcPr>
          <w:p>
            <w:pPr>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1</w:t>
            </w:r>
          </w:p>
        </w:tc>
        <w:tc>
          <w:tcPr>
            <w:tcW w:w="1559" w:type="dxa"/>
            <w:noWrap w:val="0"/>
            <w:vAlign w:val="center"/>
          </w:tcPr>
          <w:p>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药店</w:t>
            </w:r>
            <w:r>
              <w:rPr>
                <w:rFonts w:ascii="宋体" w:hAnsi="宋体" w:eastAsia="宋体" w:cs="宋体"/>
                <w:color w:val="auto"/>
                <w:kern w:val="0"/>
                <w:sz w:val="21"/>
                <w:szCs w:val="21"/>
                <w:highlight w:val="none"/>
              </w:rPr>
              <w:t>零售与服务技术</w:t>
            </w:r>
          </w:p>
        </w:tc>
        <w:tc>
          <w:tcPr>
            <w:tcW w:w="5581" w:type="dxa"/>
            <w:noWrap w:val="0"/>
            <w:vAlign w:val="center"/>
          </w:tcPr>
          <w:p>
            <w:pPr>
              <w:jc w:val="left"/>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市场营销实例演练、POP的制作、营销礼仪训练</w:t>
            </w:r>
          </w:p>
        </w:tc>
        <w:tc>
          <w:tcPr>
            <w:tcW w:w="567"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34</w:t>
            </w:r>
          </w:p>
        </w:tc>
        <w:tc>
          <w:tcPr>
            <w:tcW w:w="656"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76" w:type="dxa"/>
            <w:noWrap w:val="0"/>
            <w:vAlign w:val="center"/>
          </w:tcPr>
          <w:p>
            <w:pPr>
              <w:jc w:val="center"/>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2</w:t>
            </w:r>
          </w:p>
        </w:tc>
        <w:tc>
          <w:tcPr>
            <w:tcW w:w="1559" w:type="dxa"/>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专业综合技能实训（一）</w:t>
            </w:r>
          </w:p>
        </w:tc>
        <w:tc>
          <w:tcPr>
            <w:tcW w:w="5581" w:type="dxa"/>
            <w:noWrap w:val="0"/>
            <w:vAlign w:val="center"/>
          </w:tcPr>
          <w:p>
            <w:pP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rPr>
              <w:t>常用中药材及饮片的辨认、显微镜使用、显微标本片的制作</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bCs/>
                <w:color w:val="auto"/>
                <w:sz w:val="21"/>
                <w:szCs w:val="21"/>
                <w:highlight w:val="none"/>
              </w:rPr>
              <w:t>中药调剂技能训练</w:t>
            </w:r>
          </w:p>
        </w:tc>
        <w:tc>
          <w:tcPr>
            <w:tcW w:w="567"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30</w:t>
            </w:r>
          </w:p>
        </w:tc>
        <w:tc>
          <w:tcPr>
            <w:tcW w:w="656"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76" w:type="dxa"/>
            <w:noWrap w:val="0"/>
            <w:vAlign w:val="center"/>
          </w:tcPr>
          <w:p>
            <w:pPr>
              <w:jc w:val="center"/>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3</w:t>
            </w:r>
          </w:p>
        </w:tc>
        <w:tc>
          <w:tcPr>
            <w:tcW w:w="1559" w:type="dxa"/>
            <w:noWrap w:val="0"/>
            <w:vAlign w:val="center"/>
          </w:tcPr>
          <w:p>
            <w:pPr>
              <w:keepNext w:val="0"/>
              <w:keepLines w:val="0"/>
              <w:widowControl/>
              <w:suppressLineNumbers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专业综合技能实训（二）</w:t>
            </w:r>
          </w:p>
        </w:tc>
        <w:tc>
          <w:tcPr>
            <w:tcW w:w="5581" w:type="dxa"/>
            <w:noWrap w:val="0"/>
            <w:vAlign w:val="center"/>
          </w:tcPr>
          <w:p>
            <w:pPr>
              <w:rPr>
                <w:rFonts w:hint="default"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rPr>
              <w:t>传统中药调剂技能训练（戥称的使用）、处方审核</w:t>
            </w:r>
            <w:r>
              <w:rPr>
                <w:rFonts w:hint="eastAsia" w:ascii="宋体" w:hAnsi="宋体" w:eastAsia="宋体" w:cs="Times New Roman"/>
                <w:bCs/>
                <w:color w:val="auto"/>
                <w:sz w:val="21"/>
                <w:szCs w:val="21"/>
                <w:highlight w:val="none"/>
                <w:lang w:eastAsia="zh-CN"/>
              </w:rPr>
              <w:t>、</w:t>
            </w:r>
            <w:r>
              <w:rPr>
                <w:rFonts w:hint="eastAsia" w:ascii="宋体" w:hAnsi="宋体" w:eastAsia="宋体" w:cs="Times New Roman"/>
                <w:bCs/>
                <w:color w:val="auto"/>
                <w:sz w:val="21"/>
                <w:szCs w:val="21"/>
                <w:highlight w:val="none"/>
                <w:lang w:val="en-US" w:eastAsia="zh-CN"/>
              </w:rPr>
              <w:t>部病荐药、中药制剂基本检测技能训练</w:t>
            </w:r>
          </w:p>
        </w:tc>
        <w:tc>
          <w:tcPr>
            <w:tcW w:w="567"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30</w:t>
            </w:r>
          </w:p>
        </w:tc>
        <w:tc>
          <w:tcPr>
            <w:tcW w:w="656" w:type="dxa"/>
            <w:noWrap w:val="0"/>
            <w:vAlign w:val="center"/>
          </w:tcPr>
          <w:p>
            <w:pPr>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2.0</w:t>
            </w:r>
          </w:p>
        </w:tc>
      </w:tr>
    </w:tbl>
    <w:p>
      <w:pPr>
        <w:adjustRightInd w:val="0"/>
        <w:snapToGrid w:val="0"/>
        <w:spacing w:after="156" w:afterLines="50"/>
        <w:rPr>
          <w:rFonts w:ascii="宋体" w:hAnsi="宋体" w:eastAsia="宋体" w:cs="Times New Roman"/>
          <w:b/>
          <w:color w:val="auto"/>
          <w:sz w:val="24"/>
          <w:szCs w:val="24"/>
          <w:highlight w:val="none"/>
        </w:rPr>
      </w:pPr>
    </w:p>
    <w:p>
      <w:pPr>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5.拓展模块（课时</w:t>
      </w:r>
      <w:r>
        <w:rPr>
          <w:rFonts w:hint="eastAsia" w:ascii="宋体" w:hAnsi="宋体" w:eastAsia="宋体" w:cs="Times New Roman"/>
          <w:b/>
          <w:color w:val="auto"/>
          <w:sz w:val="24"/>
          <w:szCs w:val="24"/>
          <w:highlight w:val="none"/>
          <w:lang w:val="en-US" w:eastAsia="zh-CN"/>
        </w:rPr>
        <w:t>160</w:t>
      </w:r>
      <w:r>
        <w:rPr>
          <w:rFonts w:hint="eastAsia" w:ascii="宋体" w:hAnsi="宋体" w:eastAsia="宋体" w:cs="Times New Roman"/>
          <w:b/>
          <w:color w:val="auto"/>
          <w:sz w:val="24"/>
          <w:szCs w:val="24"/>
          <w:highlight w:val="none"/>
        </w:rPr>
        <w:t>，学分</w:t>
      </w:r>
      <w:r>
        <w:rPr>
          <w:rFonts w:hint="eastAsia" w:ascii="宋体" w:hAnsi="宋体" w:eastAsia="宋体" w:cs="Times New Roman"/>
          <w:b/>
          <w:color w:val="auto"/>
          <w:sz w:val="24"/>
          <w:szCs w:val="24"/>
          <w:highlight w:val="none"/>
          <w:lang w:val="en-US" w:eastAsia="zh-CN"/>
        </w:rPr>
        <w:t>10.0</w:t>
      </w:r>
      <w:r>
        <w:rPr>
          <w:rFonts w:hint="eastAsia" w:ascii="宋体" w:hAnsi="宋体" w:eastAsia="宋体" w:cs="Times New Roman"/>
          <w:b/>
          <w:color w:val="auto"/>
          <w:sz w:val="24"/>
          <w:szCs w:val="24"/>
          <w:highlight w:val="none"/>
        </w:rPr>
        <w:t>）</w:t>
      </w:r>
    </w:p>
    <w:p>
      <w:pPr>
        <w:adjustRightInd w:val="0"/>
        <w:snapToGrid w:val="0"/>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 xml:space="preserve">表8 </w:t>
      </w:r>
      <w:r>
        <w:rPr>
          <w:rFonts w:ascii="宋体" w:hAnsi="宋体" w:eastAsia="宋体" w:cs="Times New Roman"/>
          <w:b/>
          <w:color w:val="auto"/>
          <w:sz w:val="24"/>
          <w:szCs w:val="24"/>
          <w:highlight w:val="none"/>
        </w:rPr>
        <w:t>中</w:t>
      </w:r>
      <w:r>
        <w:rPr>
          <w:rFonts w:hint="eastAsia" w:ascii="宋体" w:hAnsi="宋体" w:eastAsia="宋体" w:cs="Times New Roman"/>
          <w:b/>
          <w:color w:val="auto"/>
          <w:sz w:val="24"/>
          <w:szCs w:val="24"/>
          <w:highlight w:val="none"/>
        </w:rPr>
        <w:t>高职贯通培养三二分段中药学专业拓展课程</w:t>
      </w:r>
    </w:p>
    <w:tbl>
      <w:tblPr>
        <w:tblStyle w:val="3"/>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596"/>
        <w:gridCol w:w="5492"/>
        <w:gridCol w:w="654"/>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596" w:type="dxa"/>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课程名称</w:t>
            </w:r>
          </w:p>
        </w:tc>
        <w:tc>
          <w:tcPr>
            <w:tcW w:w="5492" w:type="dxa"/>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主要教学内容和要求</w:t>
            </w:r>
          </w:p>
        </w:tc>
        <w:tc>
          <w:tcPr>
            <w:tcW w:w="654" w:type="dxa"/>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课时</w:t>
            </w:r>
          </w:p>
        </w:tc>
        <w:tc>
          <w:tcPr>
            <w:tcW w:w="661" w:type="dxa"/>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学</w:t>
            </w:r>
          </w:p>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实用药物学基础</w:t>
            </w:r>
          </w:p>
        </w:tc>
        <w:tc>
          <w:tcPr>
            <w:tcW w:w="5492"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课程整合了药物化学、药理学和临床药物治疗学的基本知识内容。课程以药物结构为主线，以药理作用为基础，着重讲述各类药物与稳定性及检验有关的化学知识，强化药物的主要用途、常见疾病的用药原则、不良反应及药物相互作用等实用性内容，时为学生今后更好地从事药品生产、药品经营及药学服务等岗位工作提供药学知识及技能.上的支持，树立安全、合理用药的观念。 </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医学伦理学</w:t>
            </w:r>
          </w:p>
        </w:tc>
        <w:tc>
          <w:tcPr>
            <w:tcW w:w="5492" w:type="dxa"/>
            <w:noWrap w:val="0"/>
            <w:vAlign w:val="center"/>
          </w:tcPr>
          <w:p>
            <w:pPr>
              <w:jc w:val="center"/>
              <w:rPr>
                <w:rFonts w:hint="eastAsia" w:ascii="宋体" w:hAnsi="宋体" w:eastAsia="宋体" w:cs="宋体"/>
                <w:color w:val="auto"/>
                <w:sz w:val="21"/>
                <w:szCs w:val="21"/>
                <w:highlight w:val="none"/>
                <w:lang w:val="zh-Hans"/>
              </w:rPr>
            </w:pPr>
            <w:r>
              <w:rPr>
                <w:rFonts w:hint="eastAsia" w:ascii="宋体" w:hAnsi="宋体" w:eastAsia="宋体" w:cs="宋体"/>
                <w:color w:val="auto"/>
                <w:sz w:val="21"/>
                <w:szCs w:val="21"/>
                <w:highlight w:val="none"/>
                <w:lang w:val="zh-Hans"/>
              </w:rPr>
              <w:t>通过学习和熟悉医药伦理学的基本理论知识，并将其运用于卫生管理的实践和生命科学的发展，以便培养、提高职业道德品质和分析、解决伦理问题的能力。</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中药GSP实务</w:t>
            </w:r>
          </w:p>
        </w:tc>
        <w:tc>
          <w:tcPr>
            <w:tcW w:w="5492"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本课程的学习，使学生学会药品经营质量管理及药品经营质量认证(GSP认证)，同时培养学生良好的职业道德与职业素养，强化依法合规的经营理念。本课程以《药事法规》为基础，同时本课程为项岗实习提供一定的理论基础和工作规范。</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中药学综合知识与技能</w:t>
            </w:r>
          </w:p>
        </w:tc>
        <w:tc>
          <w:tcPr>
            <w:tcW w:w="5492" w:type="dxa"/>
            <w:noWrap w:val="0"/>
            <w:vAlign w:val="center"/>
          </w:tcPr>
          <w:p>
            <w:pPr>
              <w:jc w:val="center"/>
              <w:rPr>
                <w:rFonts w:hint="eastAsia" w:ascii="宋体" w:hAnsi="宋体" w:eastAsia="宋体" w:cs="宋体"/>
                <w:color w:val="auto"/>
                <w:sz w:val="21"/>
                <w:szCs w:val="21"/>
                <w:highlight w:val="none"/>
                <w:lang w:val="zh-Hans"/>
              </w:rPr>
            </w:pPr>
            <w:r>
              <w:rPr>
                <w:rFonts w:hint="eastAsia" w:ascii="宋体" w:hAnsi="宋体" w:eastAsia="宋体" w:cs="宋体"/>
                <w:color w:val="auto"/>
                <w:sz w:val="21"/>
                <w:szCs w:val="21"/>
                <w:highlight w:val="none"/>
                <w:lang w:val="zh-Hans"/>
              </w:rPr>
              <w:t>中药学综合知识与技能是高职高专中药专业的一门重要的专业技能课程，也是国家执业中药师资格考试的科目之一。 本课程内容涵盖了中医学基础、中药调剂学和中药养护学等多学科的知识主要培养学生综合应用中药学各项专业知识和技能来解决中药学在服务过程中遇到的实际问题的能力,并为将来的实习和工作进行知识和技能的储备。</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药学文献检索</w:t>
            </w:r>
          </w:p>
        </w:tc>
        <w:tc>
          <w:tcPr>
            <w:tcW w:w="5492"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通过学习，使学生增加对信息和信息检索的理性认识，培养敏锐的情报意识；掌握文献及文献检索的基础知识，检索原理，检索途径和检索方法；掌握分析、评价和利用检索结果的正确方法，有效地运用文献信息，顺利地解决在学习和工作中遇到的有关问题。</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药膳食疗学</w:t>
            </w:r>
          </w:p>
        </w:tc>
        <w:tc>
          <w:tcPr>
            <w:tcW w:w="5492"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本课程是在中医学理论指导下，研究中医药膳的起源、发展、理论、应用及开发的一门学科，目标是让学生掌握中医药膳的基本理论，常用药材、食材的性能应用，以及常用药膳配方的制作与应用。</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596"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中药商品学</w:t>
            </w:r>
          </w:p>
        </w:tc>
        <w:tc>
          <w:tcPr>
            <w:tcW w:w="5492"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药商品学是一门研究药材品种的来源、性质、购销、商品规格、等级、质量和检验有关的理论和技术科学。研究范畴包括中药材商品的来源、产销、采收加工、性状、品质规格、鉴别、贮藏和用途。要求掌握中药材发展史、药材分布、道地药材、规格等级、商品特征及有关法律、法规，介绍中药商品学及其商品特点、中药材商业和形成与发展、我国的中药材资源概况、中药商品的管理法规及质量标准、中药商业企业的经营管理、药材的集散地、药材进出口概况等内容。</w:t>
            </w:r>
          </w:p>
          <w:p>
            <w:pPr>
              <w:jc w:val="center"/>
              <w:rPr>
                <w:rFonts w:hint="eastAsia" w:ascii="宋体" w:hAnsi="宋体" w:eastAsia="宋体" w:cs="宋体"/>
                <w:color w:val="auto"/>
                <w:sz w:val="21"/>
                <w:szCs w:val="21"/>
                <w:highlight w:val="none"/>
              </w:rPr>
            </w:pPr>
          </w:p>
        </w:tc>
        <w:tc>
          <w:tcPr>
            <w:tcW w:w="654"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661"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r>
    </w:tbl>
    <w:p>
      <w:pPr>
        <w:ind w:firstLine="361" w:firstLineChars="150"/>
        <w:rPr>
          <w:rFonts w:hint="eastAsia" w:ascii="宋体" w:hAnsi="宋体" w:eastAsia="宋体" w:cs="Times New Roman"/>
          <w:b/>
          <w:color w:val="auto"/>
          <w:sz w:val="24"/>
          <w:szCs w:val="24"/>
          <w:highlight w:val="none"/>
        </w:rPr>
      </w:pPr>
    </w:p>
    <w:p>
      <w:pPr>
        <w:adjustRightInd w:val="0"/>
        <w:snapToGrid w:val="0"/>
        <w:spacing w:after="156" w:afterLines="50"/>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表9</w:t>
      </w:r>
      <w:r>
        <w:rPr>
          <w:rFonts w:ascii="宋体" w:hAnsi="宋体" w:eastAsia="宋体" w:cs="Times New Roman"/>
          <w:b/>
          <w:color w:val="auto"/>
          <w:sz w:val="24"/>
          <w:szCs w:val="24"/>
          <w:highlight w:val="none"/>
        </w:rPr>
        <w:t xml:space="preserve"> 中</w:t>
      </w:r>
      <w:r>
        <w:rPr>
          <w:rFonts w:hint="eastAsia" w:ascii="宋体" w:hAnsi="宋体" w:eastAsia="宋体" w:cs="Times New Roman"/>
          <w:b/>
          <w:color w:val="auto"/>
          <w:sz w:val="24"/>
          <w:szCs w:val="24"/>
          <w:highlight w:val="none"/>
        </w:rPr>
        <w:t>高职贯通培养三二分段中药学专业各模块学时分配表</w:t>
      </w:r>
    </w:p>
    <w:tbl>
      <w:tblPr>
        <w:tblStyle w:val="3"/>
        <w:tblW w:w="9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285"/>
        <w:gridCol w:w="1576"/>
        <w:gridCol w:w="1576"/>
        <w:gridCol w:w="1579"/>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948" w:type="dxa"/>
            <w:vMerge w:val="restart"/>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模块</w:t>
            </w:r>
          </w:p>
        </w:tc>
        <w:tc>
          <w:tcPr>
            <w:tcW w:w="1285" w:type="dxa"/>
            <w:vMerge w:val="restart"/>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性质</w:t>
            </w:r>
          </w:p>
        </w:tc>
        <w:tc>
          <w:tcPr>
            <w:tcW w:w="4731" w:type="dxa"/>
            <w:gridSpan w:val="3"/>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学时数</w:t>
            </w:r>
          </w:p>
        </w:tc>
        <w:tc>
          <w:tcPr>
            <w:tcW w:w="1498" w:type="dxa"/>
            <w:vMerge w:val="restart"/>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占总学时的百分比（%）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1948" w:type="dxa"/>
            <w:vMerge w:val="continue"/>
            <w:noWrap w:val="0"/>
            <w:vAlign w:val="center"/>
          </w:tcPr>
          <w:p>
            <w:pPr>
              <w:jc w:val="center"/>
              <w:rPr>
                <w:rFonts w:ascii="Times New Roman" w:hAnsi="Times New Roman" w:eastAsia="宋体" w:cs="Times New Roman"/>
              </w:rPr>
            </w:pPr>
          </w:p>
        </w:tc>
        <w:tc>
          <w:tcPr>
            <w:tcW w:w="1285" w:type="dxa"/>
            <w:vMerge w:val="continue"/>
            <w:noWrap w:val="0"/>
            <w:vAlign w:val="center"/>
          </w:tcPr>
          <w:p>
            <w:pPr>
              <w:jc w:val="center"/>
              <w:rPr>
                <w:rFonts w:ascii="Times New Roman" w:hAnsi="Times New Roman" w:eastAsia="宋体" w:cs="Times New Roman"/>
              </w:rPr>
            </w:pPr>
          </w:p>
        </w:tc>
        <w:tc>
          <w:tcPr>
            <w:tcW w:w="1576"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理论</w:t>
            </w:r>
          </w:p>
        </w:tc>
        <w:tc>
          <w:tcPr>
            <w:tcW w:w="1576"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实践</w:t>
            </w:r>
          </w:p>
        </w:tc>
        <w:tc>
          <w:tcPr>
            <w:tcW w:w="1579"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理</w:t>
            </w:r>
            <w:r>
              <w:rPr>
                <w:rFonts w:ascii="Times New Roman" w:hAnsi="Times New Roman" w:eastAsia="宋体" w:cs="Times New Roman"/>
              </w:rPr>
              <w:t>/</w:t>
            </w:r>
            <w:r>
              <w:rPr>
                <w:rFonts w:hint="eastAsia" w:ascii="Times New Roman" w:hAnsi="Times New Roman" w:eastAsia="宋体" w:cs="Times New Roman"/>
              </w:rPr>
              <w:t>实比例</w:t>
            </w:r>
          </w:p>
        </w:tc>
        <w:tc>
          <w:tcPr>
            <w:tcW w:w="1498" w:type="dxa"/>
            <w:vMerge w:val="continue"/>
            <w:noWrap w:val="0"/>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公共基础模块</w:t>
            </w:r>
          </w:p>
        </w:tc>
        <w:tc>
          <w:tcPr>
            <w:tcW w:w="1285"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必修</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cs="Times New Roman"/>
                <w:lang w:val="en-US" w:eastAsia="zh-CN"/>
              </w:rPr>
              <w:t>622</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412</w:t>
            </w:r>
          </w:p>
        </w:tc>
        <w:tc>
          <w:tcPr>
            <w:tcW w:w="1579"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cs="Times New Roman"/>
                <w:lang w:val="en-US" w:eastAsia="zh-CN"/>
              </w:rPr>
              <w:t>1</w:t>
            </w:r>
            <w:r>
              <w:rPr>
                <w:rFonts w:hint="eastAsia" w:ascii="Times New Roman" w:hAnsi="Times New Roman" w:eastAsia="宋体" w:cs="Times New Roman"/>
              </w:rPr>
              <w:t>/1</w:t>
            </w:r>
          </w:p>
        </w:tc>
        <w:tc>
          <w:tcPr>
            <w:tcW w:w="1498"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专业基础模块</w:t>
            </w:r>
          </w:p>
        </w:tc>
        <w:tc>
          <w:tcPr>
            <w:tcW w:w="1285"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必修</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408</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124</w:t>
            </w:r>
          </w:p>
        </w:tc>
        <w:tc>
          <w:tcPr>
            <w:tcW w:w="1579"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3.</w:t>
            </w:r>
            <w:r>
              <w:rPr>
                <w:rFonts w:hint="eastAsia" w:ascii="Times New Roman" w:hAnsi="Times New Roman" w:eastAsia="宋体" w:cs="Times New Roman"/>
                <w:lang w:val="en-US" w:eastAsia="zh-CN"/>
              </w:rPr>
              <w:t>29</w:t>
            </w:r>
            <w:r>
              <w:rPr>
                <w:rFonts w:hint="eastAsia" w:ascii="Times New Roman" w:hAnsi="Times New Roman" w:eastAsia="宋体" w:cs="Times New Roman"/>
              </w:rPr>
              <w:t>/1</w:t>
            </w:r>
          </w:p>
        </w:tc>
        <w:tc>
          <w:tcPr>
            <w:tcW w:w="1498"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1948"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专业核心模块</w:t>
            </w:r>
          </w:p>
        </w:tc>
        <w:tc>
          <w:tcPr>
            <w:tcW w:w="1285"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必修</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598</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258</w:t>
            </w:r>
          </w:p>
        </w:tc>
        <w:tc>
          <w:tcPr>
            <w:tcW w:w="1579"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lang w:val="en-US" w:eastAsia="zh-CN"/>
              </w:rPr>
              <w:t>31</w:t>
            </w:r>
            <w:r>
              <w:rPr>
                <w:rFonts w:hint="eastAsia" w:ascii="Times New Roman" w:hAnsi="Times New Roman" w:eastAsia="宋体" w:cs="Times New Roman"/>
              </w:rPr>
              <w:t>/1</w:t>
            </w:r>
          </w:p>
        </w:tc>
        <w:tc>
          <w:tcPr>
            <w:tcW w:w="1498" w:type="dxa"/>
            <w:noWrap w:val="0"/>
            <w:vAlign w:val="center"/>
          </w:tcPr>
          <w:p>
            <w:pPr>
              <w:jc w:val="center"/>
              <w:rPr>
                <w:rFonts w:hint="eastAsia" w:ascii="Times New Roman" w:hAnsi="Times New Roman" w:eastAsia="宋体" w:cs="Times New Roman"/>
                <w:lang w:eastAsia="zh-CN"/>
              </w:rPr>
            </w:pPr>
            <w:r>
              <w:rPr>
                <w:rFonts w:hint="eastAsia" w:ascii="Times New Roman" w:hAnsi="Times New Roman" w:eastAsia="宋体" w:cs="Times New Roman"/>
              </w:rPr>
              <w:t>20.</w:t>
            </w:r>
            <w:r>
              <w:rPr>
                <w:rFonts w:hint="eastAsia"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专业技能模块</w:t>
            </w:r>
          </w:p>
        </w:tc>
        <w:tc>
          <w:tcPr>
            <w:tcW w:w="1285"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必修</w:t>
            </w:r>
          </w:p>
        </w:tc>
        <w:tc>
          <w:tcPr>
            <w:tcW w:w="1576"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30</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64</w:t>
            </w:r>
          </w:p>
        </w:tc>
        <w:tc>
          <w:tcPr>
            <w:tcW w:w="1579"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0.</w:t>
            </w:r>
            <w:r>
              <w:rPr>
                <w:rFonts w:hint="eastAsia" w:ascii="Times New Roman" w:hAnsi="Times New Roman" w:eastAsia="宋体" w:cs="Times New Roman"/>
                <w:lang w:val="en-US" w:eastAsia="zh-CN"/>
              </w:rPr>
              <w:t>46</w:t>
            </w:r>
            <w:r>
              <w:rPr>
                <w:rFonts w:hint="eastAsia" w:ascii="Times New Roman" w:hAnsi="Times New Roman" w:eastAsia="宋体" w:cs="Times New Roman"/>
              </w:rPr>
              <w:t>/1</w:t>
            </w:r>
          </w:p>
        </w:tc>
        <w:tc>
          <w:tcPr>
            <w:tcW w:w="1498" w:type="dxa"/>
            <w:noWrap w:val="0"/>
            <w:vAlign w:val="center"/>
          </w:tcPr>
          <w:p>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w:t>
            </w:r>
            <w:r>
              <w:rPr>
                <w:rFonts w:hint="eastAsia" w:ascii="Times New Roman" w:hAnsi="Times New Roman" w:eastAsia="宋体" w:cs="Times New Rom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拓展模块</w:t>
            </w:r>
          </w:p>
        </w:tc>
        <w:tc>
          <w:tcPr>
            <w:tcW w:w="1285"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选修</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124</w:t>
            </w:r>
          </w:p>
        </w:tc>
        <w:tc>
          <w:tcPr>
            <w:tcW w:w="1576" w:type="dxa"/>
            <w:noWrap w:val="0"/>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36</w:t>
            </w:r>
          </w:p>
        </w:tc>
        <w:tc>
          <w:tcPr>
            <w:tcW w:w="1579"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3.</w:t>
            </w:r>
            <w:r>
              <w:rPr>
                <w:rFonts w:hint="eastAsia" w:ascii="Times New Roman" w:hAnsi="Times New Roman" w:eastAsia="宋体" w:cs="Times New Roman"/>
                <w:lang w:val="en-US" w:eastAsia="zh-CN"/>
              </w:rPr>
              <w:t>44</w:t>
            </w:r>
            <w:r>
              <w:rPr>
                <w:rFonts w:hint="eastAsia" w:ascii="Times New Roman" w:hAnsi="Times New Roman" w:eastAsia="宋体" w:cs="Times New Roman"/>
              </w:rPr>
              <w:t>/1</w:t>
            </w:r>
          </w:p>
        </w:tc>
        <w:tc>
          <w:tcPr>
            <w:tcW w:w="1498" w:type="dxa"/>
            <w:noWrap w:val="0"/>
            <w:vAlign w:val="center"/>
          </w:tcPr>
          <w:p>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实习</w:t>
            </w:r>
          </w:p>
        </w:tc>
        <w:tc>
          <w:tcPr>
            <w:tcW w:w="1285"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必修</w:t>
            </w:r>
          </w:p>
        </w:tc>
        <w:tc>
          <w:tcPr>
            <w:tcW w:w="1576" w:type="dxa"/>
            <w:noWrap w:val="0"/>
            <w:vAlign w:val="center"/>
          </w:tcPr>
          <w:p>
            <w:pPr>
              <w:jc w:val="center"/>
              <w:rPr>
                <w:rFonts w:ascii="Times New Roman" w:hAnsi="Times New Roman" w:eastAsia="宋体" w:cs="Times New Roman"/>
              </w:rPr>
            </w:pPr>
          </w:p>
        </w:tc>
        <w:tc>
          <w:tcPr>
            <w:tcW w:w="1576"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2400</w:t>
            </w:r>
          </w:p>
        </w:tc>
        <w:tc>
          <w:tcPr>
            <w:tcW w:w="1579" w:type="dxa"/>
            <w:noWrap w:val="0"/>
            <w:vAlign w:val="center"/>
          </w:tcPr>
          <w:p>
            <w:pPr>
              <w:jc w:val="center"/>
              <w:rPr>
                <w:rFonts w:ascii="Times New Roman" w:hAnsi="Times New Roman" w:eastAsia="宋体" w:cs="Times New Roman"/>
              </w:rPr>
            </w:pPr>
          </w:p>
        </w:tc>
        <w:tc>
          <w:tcPr>
            <w:tcW w:w="1498" w:type="dxa"/>
            <w:noWrap w:val="0"/>
            <w:vAlign w:val="center"/>
          </w:tcPr>
          <w:p>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948"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合计</w:t>
            </w:r>
          </w:p>
        </w:tc>
        <w:tc>
          <w:tcPr>
            <w:tcW w:w="1285" w:type="dxa"/>
            <w:noWrap w:val="0"/>
            <w:vAlign w:val="center"/>
          </w:tcPr>
          <w:p>
            <w:pPr>
              <w:jc w:val="center"/>
              <w:rPr>
                <w:rFonts w:ascii="Times New Roman" w:hAnsi="Times New Roman" w:eastAsia="宋体" w:cs="Times New Roman"/>
              </w:rPr>
            </w:pPr>
          </w:p>
        </w:tc>
        <w:tc>
          <w:tcPr>
            <w:tcW w:w="1576"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1930</w:t>
            </w:r>
          </w:p>
        </w:tc>
        <w:tc>
          <w:tcPr>
            <w:tcW w:w="1576"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3614</w:t>
            </w:r>
          </w:p>
        </w:tc>
        <w:tc>
          <w:tcPr>
            <w:tcW w:w="1579"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0.53/1</w:t>
            </w:r>
          </w:p>
        </w:tc>
        <w:tc>
          <w:tcPr>
            <w:tcW w:w="1498"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100</w:t>
            </w:r>
          </w:p>
        </w:tc>
      </w:tr>
    </w:tbl>
    <w:p>
      <w:pPr>
        <w:ind w:firstLine="361" w:firstLineChars="150"/>
        <w:rPr>
          <w:rFonts w:hint="eastAsia" w:ascii="宋体" w:hAnsi="宋体" w:eastAsia="宋体" w:cs="Times New Roman"/>
          <w:b/>
          <w:color w:val="auto"/>
          <w:sz w:val="24"/>
          <w:szCs w:val="24"/>
          <w:highlight w:val="none"/>
        </w:rPr>
      </w:pPr>
    </w:p>
    <w:p>
      <w:pPr>
        <w:adjustRightInd w:val="0"/>
        <w:snapToGrid w:val="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十、</w:t>
      </w:r>
      <w:r>
        <w:rPr>
          <w:rFonts w:ascii="宋体" w:hAnsi="宋体" w:eastAsia="宋体" w:cs="Times New Roman"/>
          <w:b/>
          <w:color w:val="auto"/>
          <w:sz w:val="24"/>
          <w:szCs w:val="24"/>
          <w:highlight w:val="none"/>
        </w:rPr>
        <w:t>教学</w:t>
      </w:r>
      <w:r>
        <w:rPr>
          <w:rFonts w:hint="eastAsia" w:ascii="宋体" w:hAnsi="宋体" w:eastAsia="宋体" w:cs="Times New Roman"/>
          <w:b/>
          <w:color w:val="auto"/>
          <w:sz w:val="24"/>
          <w:szCs w:val="24"/>
          <w:highlight w:val="none"/>
        </w:rPr>
        <w:t>进程</w:t>
      </w:r>
      <w:r>
        <w:rPr>
          <w:rFonts w:ascii="宋体" w:hAnsi="宋体" w:eastAsia="宋体" w:cs="Times New Roman"/>
          <w:b/>
          <w:color w:val="auto"/>
          <w:sz w:val="24"/>
          <w:szCs w:val="24"/>
          <w:highlight w:val="none"/>
        </w:rPr>
        <w:t>安排及说明</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（一）教学活动时间分配表（见表10）</w:t>
      </w:r>
    </w:p>
    <w:p>
      <w:pPr>
        <w:adjustRightInd w:val="0"/>
        <w:snapToGrid w:val="0"/>
        <w:spacing w:line="500" w:lineRule="exact"/>
        <w:ind w:firstLine="465"/>
        <w:jc w:val="center"/>
        <w:rPr>
          <w:rFonts w:hint="eastAsia" w:ascii="宋体" w:hAnsi="宋体" w:eastAsia="宋体" w:cs="Times New Roman"/>
          <w:b/>
          <w:color w:val="auto"/>
          <w:sz w:val="24"/>
          <w:szCs w:val="24"/>
          <w:highlight w:val="none"/>
        </w:rPr>
      </w:pPr>
    </w:p>
    <w:p>
      <w:pPr>
        <w:adjustRightInd w:val="0"/>
        <w:snapToGrid w:val="0"/>
        <w:spacing w:line="500" w:lineRule="exact"/>
        <w:ind w:firstLine="465"/>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表10 中高职贯通培养三二分段中药学专业教学活动时间分配表</w:t>
      </w:r>
    </w:p>
    <w:tbl>
      <w:tblPr>
        <w:tblStyle w:val="3"/>
        <w:tblW w:w="9174" w:type="dxa"/>
        <w:jc w:val="center"/>
        <w:tblInd w:w="0" w:type="dxa"/>
        <w:tblLayout w:type="fixed"/>
        <w:tblCellMar>
          <w:top w:w="0" w:type="dxa"/>
          <w:left w:w="108" w:type="dxa"/>
          <w:bottom w:w="0" w:type="dxa"/>
          <w:right w:w="108" w:type="dxa"/>
        </w:tblCellMar>
      </w:tblPr>
      <w:tblGrid>
        <w:gridCol w:w="664"/>
        <w:gridCol w:w="965"/>
        <w:gridCol w:w="965"/>
        <w:gridCol w:w="774"/>
        <w:gridCol w:w="1125"/>
        <w:gridCol w:w="934"/>
        <w:gridCol w:w="965"/>
        <w:gridCol w:w="934"/>
        <w:gridCol w:w="934"/>
        <w:gridCol w:w="914"/>
      </w:tblGrid>
      <w:tr>
        <w:tblPrEx>
          <w:tblLayout w:type="fixed"/>
          <w:tblCellMar>
            <w:top w:w="0" w:type="dxa"/>
            <w:left w:w="108" w:type="dxa"/>
            <w:bottom w:w="0" w:type="dxa"/>
            <w:right w:w="108" w:type="dxa"/>
          </w:tblCellMar>
        </w:tblPrEx>
        <w:trPr>
          <w:trHeight w:val="285" w:hRule="atLeast"/>
          <w:jc w:val="center"/>
        </w:trPr>
        <w:tc>
          <w:tcPr>
            <w:tcW w:w="8260" w:type="dxa"/>
            <w:gridSpan w:val="9"/>
            <w:tcBorders>
              <w:top w:val="nil"/>
              <w:left w:val="nil"/>
              <w:bottom w:val="single" w:color="auto" w:sz="4" w:space="0"/>
              <w:right w:val="nil"/>
            </w:tcBorders>
            <w:noWrap/>
            <w:vAlign w:val="center"/>
          </w:tcPr>
          <w:p>
            <w:pPr>
              <w:jc w:val="center"/>
              <w:rPr>
                <w:rFonts w:ascii="Times New Roman" w:hAnsi="Times New Roman" w:eastAsia="宋体" w:cs="Times New Roman"/>
              </w:rPr>
            </w:pPr>
          </w:p>
        </w:tc>
        <w:tc>
          <w:tcPr>
            <w:tcW w:w="914" w:type="dxa"/>
            <w:tcBorders>
              <w:top w:val="nil"/>
              <w:left w:val="nil"/>
              <w:bottom w:val="nil"/>
              <w:right w:val="nil"/>
            </w:tcBorders>
            <w:noWrap/>
            <w:vAlign w:val="center"/>
          </w:tcPr>
          <w:p>
            <w:pPr>
              <w:jc w:val="center"/>
              <w:rPr>
                <w:rFonts w:ascii="Times New Roman" w:hAnsi="Times New Roman" w:eastAsia="宋体" w:cs="Times New Roman"/>
              </w:rPr>
            </w:pPr>
          </w:p>
        </w:tc>
      </w:tr>
      <w:tr>
        <w:tblPrEx>
          <w:tblLayout w:type="fixed"/>
          <w:tblCellMar>
            <w:top w:w="0" w:type="dxa"/>
            <w:left w:w="108" w:type="dxa"/>
            <w:bottom w:w="0" w:type="dxa"/>
            <w:right w:w="108" w:type="dxa"/>
          </w:tblCellMar>
        </w:tblPrEx>
        <w:trPr>
          <w:trHeight w:val="381" w:hRule="atLeast"/>
          <w:jc w:val="center"/>
        </w:trPr>
        <w:tc>
          <w:tcPr>
            <w:tcW w:w="664"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学年</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学期</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教学</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考核</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入学教育军训</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毕业教育</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毕业跟岗实习</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社会实践</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机动</w:t>
            </w:r>
          </w:p>
        </w:tc>
        <w:tc>
          <w:tcPr>
            <w:tcW w:w="914" w:type="dxa"/>
            <w:tcBorders>
              <w:top w:val="single" w:color="auto" w:sz="4" w:space="0"/>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合计</w:t>
            </w:r>
          </w:p>
        </w:tc>
      </w:tr>
      <w:tr>
        <w:tblPrEx>
          <w:tblLayout w:type="fixed"/>
          <w:tblCellMar>
            <w:top w:w="0" w:type="dxa"/>
            <w:left w:w="108" w:type="dxa"/>
            <w:bottom w:w="0" w:type="dxa"/>
            <w:right w:w="108" w:type="dxa"/>
          </w:tblCellMar>
        </w:tblPrEx>
        <w:trPr>
          <w:trHeight w:val="284" w:hRule="exact"/>
          <w:jc w:val="center"/>
        </w:trPr>
        <w:tc>
          <w:tcPr>
            <w:tcW w:w="664" w:type="dxa"/>
            <w:vMerge w:val="restart"/>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一</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16</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continue"/>
            <w:tcBorders>
              <w:top w:val="nil"/>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18</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22</w:t>
            </w:r>
          </w:p>
        </w:tc>
      </w:tr>
      <w:tr>
        <w:tblPrEx>
          <w:tblLayout w:type="fixed"/>
          <w:tblCellMar>
            <w:top w:w="0" w:type="dxa"/>
            <w:left w:w="108" w:type="dxa"/>
            <w:bottom w:w="0" w:type="dxa"/>
            <w:right w:w="108" w:type="dxa"/>
          </w:tblCellMar>
        </w:tblPrEx>
        <w:trPr>
          <w:trHeight w:val="284" w:hRule="exact"/>
          <w:jc w:val="center"/>
        </w:trPr>
        <w:tc>
          <w:tcPr>
            <w:tcW w:w="664" w:type="dxa"/>
            <w:vMerge w:val="restart"/>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二</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17</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continue"/>
            <w:tcBorders>
              <w:top w:val="nil"/>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4</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14</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restart"/>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三</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5</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r>
      <w:tr>
        <w:tblPrEx>
          <w:tblLayout w:type="fixed"/>
          <w:tblCellMar>
            <w:top w:w="0" w:type="dxa"/>
            <w:left w:w="108" w:type="dxa"/>
            <w:bottom w:w="0" w:type="dxa"/>
            <w:right w:w="108" w:type="dxa"/>
          </w:tblCellMar>
        </w:tblPrEx>
        <w:trPr>
          <w:trHeight w:val="284" w:hRule="exact"/>
          <w:jc w:val="center"/>
        </w:trPr>
        <w:tc>
          <w:tcPr>
            <w:tcW w:w="664" w:type="dxa"/>
            <w:vMerge w:val="continue"/>
            <w:tcBorders>
              <w:top w:val="nil"/>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6</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restart"/>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四</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7</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16</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continue"/>
            <w:tcBorders>
              <w:top w:val="nil"/>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8</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17</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21</w:t>
            </w:r>
          </w:p>
        </w:tc>
      </w:tr>
      <w:tr>
        <w:tblPrEx>
          <w:tblLayout w:type="fixed"/>
          <w:tblCellMar>
            <w:top w:w="0" w:type="dxa"/>
            <w:left w:w="108" w:type="dxa"/>
            <w:bottom w:w="0" w:type="dxa"/>
            <w:right w:w="108" w:type="dxa"/>
          </w:tblCellMar>
        </w:tblPrEx>
        <w:trPr>
          <w:trHeight w:val="284" w:hRule="exact"/>
          <w:jc w:val="center"/>
        </w:trPr>
        <w:tc>
          <w:tcPr>
            <w:tcW w:w="664" w:type="dxa"/>
            <w:vMerge w:val="restart"/>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r>
              <w:rPr>
                <w:rFonts w:ascii="Times New Roman" w:hAnsi="Times New Roman" w:eastAsia="宋体" w:cs="Times New Roman"/>
              </w:rPr>
              <w:t>五</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9</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r>
      <w:tr>
        <w:tblPrEx>
          <w:tblLayout w:type="fixed"/>
          <w:tblCellMar>
            <w:top w:w="0" w:type="dxa"/>
            <w:left w:w="108" w:type="dxa"/>
            <w:bottom w:w="0" w:type="dxa"/>
            <w:right w:w="108" w:type="dxa"/>
          </w:tblCellMar>
        </w:tblPrEx>
        <w:trPr>
          <w:trHeight w:val="284" w:hRule="exact"/>
          <w:jc w:val="center"/>
        </w:trPr>
        <w:tc>
          <w:tcPr>
            <w:tcW w:w="664" w:type="dxa"/>
            <w:vMerge w:val="continue"/>
            <w:tcBorders>
              <w:top w:val="nil"/>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10</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w:t>
            </w:r>
          </w:p>
        </w:tc>
      </w:tr>
      <w:tr>
        <w:tblPrEx>
          <w:tblLayout w:type="fixed"/>
          <w:tblCellMar>
            <w:top w:w="0" w:type="dxa"/>
            <w:left w:w="108" w:type="dxa"/>
            <w:bottom w:w="0" w:type="dxa"/>
            <w:right w:w="108" w:type="dxa"/>
          </w:tblCellMar>
        </w:tblPrEx>
        <w:trPr>
          <w:trHeight w:val="284" w:hRule="exact"/>
          <w:jc w:val="center"/>
        </w:trPr>
        <w:tc>
          <w:tcPr>
            <w:tcW w:w="664"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宋体" w:cs="Times New Roman"/>
              </w:rPr>
            </w:pP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合计</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98</w:t>
            </w:r>
          </w:p>
        </w:tc>
        <w:tc>
          <w:tcPr>
            <w:tcW w:w="77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11</w:t>
            </w:r>
          </w:p>
        </w:tc>
        <w:tc>
          <w:tcPr>
            <w:tcW w:w="112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965"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81</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8</w:t>
            </w:r>
          </w:p>
        </w:tc>
        <w:tc>
          <w:tcPr>
            <w:tcW w:w="93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6</w:t>
            </w:r>
          </w:p>
        </w:tc>
        <w:tc>
          <w:tcPr>
            <w:tcW w:w="914"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rPr>
            </w:pPr>
            <w:r>
              <w:rPr>
                <w:rFonts w:ascii="Times New Roman" w:hAnsi="Times New Roman" w:eastAsia="宋体" w:cs="Times New Roman"/>
              </w:rPr>
              <w:t>208</w:t>
            </w:r>
          </w:p>
        </w:tc>
      </w:tr>
    </w:tbl>
    <w:p>
      <w:pPr>
        <w:adjustRightInd w:val="0"/>
        <w:snapToGrid w:val="0"/>
        <w:spacing w:line="500" w:lineRule="exact"/>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（二）教学进程安排</w:t>
      </w:r>
    </w:p>
    <w:p>
      <w:pPr>
        <w:adjustRightInd w:val="0"/>
        <w:snapToGrid w:val="0"/>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教学进程表及说明见附件。</w:t>
      </w:r>
    </w:p>
    <w:p>
      <w:pPr>
        <w:spacing w:line="500" w:lineRule="exact"/>
        <w:ind w:firstLine="482" w:firstLineChars="200"/>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十一、实施保障</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（一）师资队伍</w:t>
      </w:r>
    </w:p>
    <w:p>
      <w:pPr>
        <w:spacing w:line="500" w:lineRule="exact"/>
        <w:ind w:firstLine="482" w:firstLineChars="200"/>
        <w:rPr>
          <w:rFonts w:hint="eastAsia" w:ascii="宋体" w:hAnsi="宋体" w:eastAsia="宋体" w:cs="仿宋_GB2312"/>
          <w:color w:val="auto"/>
          <w:kern w:val="0"/>
          <w:sz w:val="24"/>
          <w:szCs w:val="24"/>
          <w:highlight w:val="none"/>
          <w:lang w:val="zh-CN"/>
        </w:rPr>
      </w:pPr>
      <w:r>
        <w:rPr>
          <w:rFonts w:hint="eastAsia" w:ascii="宋体" w:hAnsi="宋体" w:eastAsia="宋体" w:cs="仿宋_GB2312"/>
          <w:b/>
          <w:color w:val="auto"/>
          <w:kern w:val="0"/>
          <w:sz w:val="24"/>
          <w:szCs w:val="24"/>
          <w:highlight w:val="none"/>
          <w:lang w:val="zh-CN"/>
        </w:rPr>
        <w:t>1．中职学段</w:t>
      </w:r>
    </w:p>
    <w:p>
      <w:pPr>
        <w:spacing w:line="500" w:lineRule="exact"/>
        <w:ind w:firstLine="480" w:firstLineChars="200"/>
        <w:rPr>
          <w:rFonts w:hint="eastAsia" w:ascii="宋体" w:hAnsi="宋体" w:eastAsia="宋体" w:cs="仿宋_GB2312"/>
          <w:color w:val="auto"/>
          <w:kern w:val="0"/>
          <w:sz w:val="24"/>
          <w:szCs w:val="24"/>
          <w:highlight w:val="none"/>
          <w:lang w:val="zh-CN"/>
        </w:rPr>
      </w:pPr>
      <w:r>
        <w:rPr>
          <w:rFonts w:hint="eastAsia" w:ascii="宋体" w:hAnsi="宋体" w:eastAsia="宋体" w:cs="仿宋_GB2312"/>
          <w:color w:val="auto"/>
          <w:kern w:val="0"/>
          <w:sz w:val="24"/>
          <w:szCs w:val="24"/>
          <w:highlight w:val="none"/>
          <w:lang w:val="zh-CN"/>
        </w:rPr>
        <w:t>专任教师生师比规模达到</w:t>
      </w:r>
      <w:r>
        <w:rPr>
          <w:rFonts w:hint="eastAsia" w:ascii="宋体" w:hAnsi="宋体" w:eastAsia="宋体" w:cs="仿宋_GB2312"/>
          <w:color w:val="auto"/>
          <w:kern w:val="0"/>
          <w:sz w:val="24"/>
          <w:szCs w:val="24"/>
          <w:highlight w:val="none"/>
          <w:lang w:val="en-US" w:eastAsia="zh-CN"/>
        </w:rPr>
        <w:t>16</w:t>
      </w:r>
      <w:r>
        <w:rPr>
          <w:rFonts w:hint="eastAsia" w:ascii="宋体" w:hAnsi="宋体" w:eastAsia="宋体" w:cs="仿宋_GB2312"/>
          <w:color w:val="auto"/>
          <w:kern w:val="0"/>
          <w:sz w:val="24"/>
          <w:szCs w:val="24"/>
          <w:highlight w:val="none"/>
          <w:lang w:val="zh-CN"/>
        </w:rPr>
        <w:t>:1。主讲教师具备本专业或相近专业大学本科以上学历（含本科）；应接受过职业教育教学方法的培训，具有开发职业教育课程的能力；具有助理讲师以上职称、行业执业资格证书。实训指导教师具备本专业或相近专业大学专科以上学历（含专科），有助理实验师资格，有丰富的实践工作经验。</w:t>
      </w:r>
    </w:p>
    <w:p>
      <w:pPr>
        <w:spacing w:line="500" w:lineRule="exact"/>
        <w:ind w:firstLine="472" w:firstLineChars="196"/>
        <w:rPr>
          <w:rFonts w:hint="eastAsia" w:ascii="宋体" w:hAnsi="宋体" w:eastAsia="宋体" w:cs="仿宋_GB2312"/>
          <w:b/>
          <w:color w:val="auto"/>
          <w:kern w:val="0"/>
          <w:sz w:val="24"/>
          <w:szCs w:val="24"/>
          <w:highlight w:val="none"/>
          <w:lang w:val="zh-CN"/>
        </w:rPr>
      </w:pPr>
      <w:r>
        <w:rPr>
          <w:rFonts w:hint="eastAsia" w:ascii="宋体" w:hAnsi="宋体" w:eastAsia="宋体" w:cs="仿宋_GB2312"/>
          <w:b/>
          <w:color w:val="auto"/>
          <w:kern w:val="0"/>
          <w:sz w:val="24"/>
          <w:szCs w:val="24"/>
          <w:highlight w:val="none"/>
          <w:lang w:val="zh-CN"/>
        </w:rPr>
        <w:t>2．高职学段</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有高水平的学科带头人</w:t>
      </w:r>
      <w:r>
        <w:rPr>
          <w:rFonts w:ascii="宋体" w:hAnsi="宋体" w:eastAsia="宋体" w:cs="Times New Roman"/>
          <w:color w:val="auto"/>
          <w:sz w:val="24"/>
          <w:szCs w:val="24"/>
          <w:highlight w:val="none"/>
        </w:rPr>
        <w:t>1-2</w:t>
      </w:r>
      <w:r>
        <w:rPr>
          <w:rFonts w:hint="eastAsia" w:ascii="宋体" w:hAnsi="宋体" w:eastAsia="宋体" w:cs="Times New Roman"/>
          <w:color w:val="auto"/>
          <w:sz w:val="24"/>
          <w:szCs w:val="24"/>
          <w:highlight w:val="none"/>
        </w:rPr>
        <w:t xml:space="preserve">名、专业骨干教师3-4名。专任教师队伍数量足够，年龄、学历结构合理，具有“双师”素质教师占70%以上，具有行业企业生产一线工作经历的达40％以上，高级职称的比例达25%以上，硕士以上学位的教师达50%以上。聘请行业企业的技术专家4-6名，初步形成实践技能课程和顶岗实习主要由兼职教师讲授和能工巧匠指导的机制，专兼职教师比例达到1：1以上。校内实训指导教师具有高级工以上职业资格证书或2年以上相关企业工作经历。 </w:t>
      </w:r>
    </w:p>
    <w:p>
      <w:pPr>
        <w:spacing w:line="500" w:lineRule="exact"/>
        <w:ind w:firstLine="482" w:firstLineChars="200"/>
        <w:rPr>
          <w:rFonts w:hint="eastAsia" w:ascii="宋体" w:hAnsi="宋体" w:eastAsia="宋体" w:cs="Times New Roman"/>
          <w:color w:val="auto"/>
          <w:sz w:val="24"/>
          <w:szCs w:val="24"/>
          <w:highlight w:val="none"/>
        </w:rPr>
      </w:pPr>
      <w:r>
        <w:rPr>
          <w:rFonts w:hint="eastAsia" w:ascii="宋体" w:hAnsi="宋体" w:eastAsia="宋体" w:cs="仿宋_GB2312"/>
          <w:b/>
          <w:bCs/>
          <w:color w:val="auto"/>
          <w:kern w:val="0"/>
          <w:sz w:val="24"/>
          <w:szCs w:val="24"/>
          <w:highlight w:val="none"/>
          <w:lang w:val="zh-CN"/>
        </w:rPr>
        <w:t>（二）</w:t>
      </w:r>
      <w:r>
        <w:rPr>
          <w:rFonts w:hint="eastAsia" w:ascii="宋体" w:hAnsi="宋体" w:eastAsia="宋体" w:cs="Times New Roman"/>
          <w:b/>
          <w:color w:val="auto"/>
          <w:sz w:val="24"/>
          <w:szCs w:val="24"/>
          <w:highlight w:val="none"/>
        </w:rPr>
        <w:t>教学设施</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1.校内实训</w:t>
      </w:r>
    </w:p>
    <w:p>
      <w:pPr>
        <w:spacing w:line="500" w:lineRule="exact"/>
        <w:ind w:firstLine="424" w:firstLineChars="177"/>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专业与行业企业紧密结合，系统设计、实施生产性实训和顶岗实习，探索建立“校中厂“、”厂中校“等形式的实践教学基地。学校应按照本专业教学计划、教学大纲的要求，设置与本专业所开设课程相适应的教学实验实训基地，购置必要的实验实训教学仪器设备。实验实训教学仪器设备的总值不少于400万元，中药学专业教学仪器不少于100万元，并且根据学校五年规划本专业招生总数，生均不少于0.5万元。</w:t>
      </w:r>
    </w:p>
    <w:p>
      <w:pPr>
        <w:jc w:val="center"/>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表11 中高职贯通培养三二分段中药学专业实验实训主要仪器设备一览表</w:t>
      </w:r>
    </w:p>
    <w:tbl>
      <w:tblPr>
        <w:tblStyle w:val="3"/>
        <w:tblW w:w="85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742"/>
        <w:gridCol w:w="924"/>
        <w:gridCol w:w="3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44" w:type="dxa"/>
            <w:noWrap w:val="0"/>
            <w:vAlign w:val="top"/>
          </w:tcPr>
          <w:p>
            <w:pPr>
              <w:jc w:val="center"/>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序号</w:t>
            </w:r>
          </w:p>
        </w:tc>
        <w:tc>
          <w:tcPr>
            <w:tcW w:w="3742" w:type="dxa"/>
            <w:noWrap w:val="0"/>
            <w:vAlign w:val="top"/>
          </w:tcPr>
          <w:p>
            <w:pPr>
              <w:jc w:val="center"/>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仪器设备名称</w:t>
            </w:r>
          </w:p>
        </w:tc>
        <w:tc>
          <w:tcPr>
            <w:tcW w:w="924" w:type="dxa"/>
            <w:noWrap w:val="0"/>
            <w:vAlign w:val="top"/>
          </w:tcPr>
          <w:p>
            <w:pPr>
              <w:jc w:val="center"/>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序号</w:t>
            </w:r>
          </w:p>
        </w:tc>
        <w:tc>
          <w:tcPr>
            <w:tcW w:w="3042" w:type="dxa"/>
            <w:noWrap w:val="0"/>
            <w:vAlign w:val="top"/>
          </w:tcPr>
          <w:p>
            <w:pPr>
              <w:jc w:val="center"/>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仪器设备名称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显微镜</w:t>
            </w:r>
          </w:p>
        </w:tc>
        <w:tc>
          <w:tcPr>
            <w:tcW w:w="924" w:type="dxa"/>
            <w:noWrap w:val="0"/>
            <w:vAlign w:val="top"/>
          </w:tcPr>
          <w:p>
            <w:pPr>
              <w:jc w:val="center"/>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22</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智能溶出度测定仪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超净工作台</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滴定装置</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24</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栓剂熔变时限测定仪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p>
        </w:tc>
        <w:tc>
          <w:tcPr>
            <w:tcW w:w="3742" w:type="dxa"/>
            <w:noWrap w:val="0"/>
            <w:vAlign w:val="center"/>
          </w:tcPr>
          <w:p>
            <w:pPr>
              <w:ind w:left="-68" w:leftChars="-33" w:right="840" w:hanging="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生物信号采集处理系统</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25</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电子天平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高温炉</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26</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三用紫外分析仪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干燥箱</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27</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阿贝折光仪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磁力搅拌器</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28</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旋光仪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电动搅拌机</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29</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自动永停滴定仪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9</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减压循环水泵</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30</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红外分光光度计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10</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抽滤装置</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31</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熔点测定仪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11</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蒸馏装置</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32</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高效液相色谱仪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减压蒸馏装置</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33</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13</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旋转蒸发器</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34</w:t>
            </w:r>
          </w:p>
        </w:tc>
        <w:tc>
          <w:tcPr>
            <w:tcW w:w="3042" w:type="dxa"/>
            <w:noWrap w:val="0"/>
            <w:tcMar>
              <w:left w:w="1701" w:type="dxa"/>
            </w:tcMar>
            <w:vAlign w:val="center"/>
          </w:tcPr>
          <w:p>
            <w:pPr>
              <w:ind w:left="-1662" w:leftChars="-804" w:hanging="26" w:hangingChars="1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滚筒式</w:t>
            </w:r>
            <w:r>
              <w:rPr>
                <w:rFonts w:ascii="宋体" w:hAnsi="宋体" w:eastAsia="宋体" w:cs="Times New Roman"/>
                <w:color w:val="auto"/>
                <w:sz w:val="24"/>
                <w:szCs w:val="24"/>
                <w:highlight w:val="none"/>
              </w:rPr>
              <w:t>洗药</w:t>
            </w:r>
            <w:r>
              <w:rPr>
                <w:rFonts w:hint="eastAsia" w:ascii="宋体" w:hAnsi="宋体" w:eastAsia="宋体" w:cs="Times New Roman"/>
                <w:color w:val="auto"/>
                <w:sz w:val="24"/>
                <w:szCs w:val="24"/>
                <w:highlight w:val="none"/>
              </w:rPr>
              <w:t>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颗粒机</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35</w:t>
            </w:r>
          </w:p>
        </w:tc>
        <w:tc>
          <w:tcPr>
            <w:tcW w:w="3042" w:type="dxa"/>
            <w:noWrap w:val="0"/>
            <w:tcMar>
              <w:left w:w="1701" w:type="dxa"/>
            </w:tcMar>
            <w:vAlign w:val="center"/>
          </w:tcPr>
          <w:p>
            <w:pPr>
              <w:ind w:left="-1662" w:leftChars="-804" w:hanging="26" w:hangingChars="11"/>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煎药机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压片机</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36</w:t>
            </w:r>
          </w:p>
        </w:tc>
        <w:tc>
          <w:tcPr>
            <w:tcW w:w="3042" w:type="dxa"/>
            <w:noWrap w:val="0"/>
            <w:tcMar>
              <w:left w:w="1701" w:type="dxa"/>
            </w:tcMar>
            <w:vAlign w:val="center"/>
          </w:tcPr>
          <w:p>
            <w:pPr>
              <w:ind w:left="-1662" w:leftChars="-804" w:hanging="26" w:hangingChars="1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煅药</w:t>
            </w:r>
            <w:r>
              <w:rPr>
                <w:rFonts w:ascii="宋体" w:hAnsi="宋体" w:eastAsia="宋体" w:cs="Times New Roman"/>
                <w:color w:val="auto"/>
                <w:sz w:val="24"/>
                <w:szCs w:val="24"/>
                <w:highlight w:val="none"/>
              </w:rPr>
              <w:t>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全自动胶囊充填机</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37</w:t>
            </w:r>
          </w:p>
        </w:tc>
        <w:tc>
          <w:tcPr>
            <w:tcW w:w="3042" w:type="dxa"/>
            <w:noWrap w:val="0"/>
            <w:tcMar>
              <w:left w:w="1701" w:type="dxa"/>
            </w:tcMar>
            <w:vAlign w:val="top"/>
          </w:tcPr>
          <w:p>
            <w:pPr>
              <w:ind w:left="-1662" w:leftChars="-804" w:hanging="26" w:hangingChars="1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破碎机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w:t>
            </w:r>
          </w:p>
        </w:tc>
        <w:tc>
          <w:tcPr>
            <w:tcW w:w="3742" w:type="dxa"/>
            <w:noWrap w:val="0"/>
            <w:vAlign w:val="center"/>
          </w:tcPr>
          <w:p>
            <w:pPr>
              <w:ind w:left="-68" w:leftChars="-33" w:right="840" w:hanging="1"/>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包衣机</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38</w:t>
            </w:r>
          </w:p>
        </w:tc>
        <w:tc>
          <w:tcPr>
            <w:tcW w:w="3042" w:type="dxa"/>
            <w:noWrap w:val="0"/>
            <w:vAlign w:val="top"/>
          </w:tcPr>
          <w:p>
            <w:pPr>
              <w:ind w:right="-2" w:rightChars="-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轧</w:t>
            </w:r>
            <w:r>
              <w:rPr>
                <w:rFonts w:ascii="宋体" w:hAnsi="宋体" w:eastAsia="宋体" w:cs="Times New Roman"/>
                <w:color w:val="auto"/>
                <w:sz w:val="24"/>
                <w:szCs w:val="24"/>
                <w:highlight w:val="none"/>
              </w:rPr>
              <w:t>扁</w:t>
            </w:r>
            <w:r>
              <w:rPr>
                <w:rFonts w:hint="eastAsia" w:ascii="宋体" w:hAnsi="宋体" w:eastAsia="宋体" w:cs="Times New Roman"/>
                <w:color w:val="auto"/>
                <w:sz w:val="24"/>
                <w:szCs w:val="24"/>
                <w:highlight w:val="none"/>
              </w:rPr>
              <w:t>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18</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脆碎度测定仪</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39</w:t>
            </w:r>
          </w:p>
        </w:tc>
        <w:tc>
          <w:tcPr>
            <w:tcW w:w="3042" w:type="dxa"/>
            <w:noWrap w:val="0"/>
            <w:vAlign w:val="top"/>
          </w:tcPr>
          <w:p>
            <w:pPr>
              <w:ind w:hanging="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剁刀</w:t>
            </w:r>
            <w:r>
              <w:rPr>
                <w:rFonts w:ascii="宋体" w:hAnsi="宋体" w:eastAsia="宋体" w:cs="Times New Roman"/>
                <w:color w:val="auto"/>
                <w:sz w:val="24"/>
                <w:szCs w:val="24"/>
                <w:highlight w:val="none"/>
              </w:rPr>
              <w:t>式切药机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19</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澄明度检测仪</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40</w:t>
            </w:r>
          </w:p>
        </w:tc>
        <w:tc>
          <w:tcPr>
            <w:tcW w:w="3042" w:type="dxa"/>
            <w:noWrap w:val="0"/>
            <w:vAlign w:val="top"/>
          </w:tcPr>
          <w:p>
            <w:pPr>
              <w:ind w:left="1" w:leftChars="-12" w:hanging="26" w:hangingChars="11"/>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旋转式</w:t>
            </w:r>
            <w:r>
              <w:rPr>
                <w:rFonts w:ascii="宋体" w:hAnsi="宋体" w:eastAsia="宋体" w:cs="Times New Roman"/>
                <w:color w:val="auto"/>
                <w:sz w:val="24"/>
                <w:szCs w:val="24"/>
                <w:highlight w:val="none"/>
              </w:rPr>
              <w:t>切药机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20</w:t>
            </w:r>
          </w:p>
        </w:tc>
        <w:tc>
          <w:tcPr>
            <w:tcW w:w="3742" w:type="dxa"/>
            <w:noWrap w:val="0"/>
            <w:vAlign w:val="center"/>
          </w:tcPr>
          <w:p>
            <w:pPr>
              <w:ind w:left="-68" w:leftChars="-33" w:right="840" w:hanging="1"/>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紫外-可见分光光度计</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41</w:t>
            </w:r>
          </w:p>
        </w:tc>
        <w:tc>
          <w:tcPr>
            <w:tcW w:w="3042" w:type="dxa"/>
            <w:noWrap w:val="0"/>
            <w:vAlign w:val="top"/>
          </w:tcPr>
          <w:p>
            <w:pPr>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筛药</w:t>
            </w:r>
            <w:r>
              <w:rPr>
                <w:rFonts w:ascii="宋体" w:hAnsi="宋体" w:eastAsia="宋体" w:cs="Times New Roman"/>
                <w:color w:val="auto"/>
                <w:sz w:val="24"/>
                <w:szCs w:val="24"/>
                <w:highlight w:val="none"/>
              </w:rPr>
              <w:t>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jc w:val="center"/>
        </w:trPr>
        <w:tc>
          <w:tcPr>
            <w:tcW w:w="84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p>
        </w:tc>
        <w:tc>
          <w:tcPr>
            <w:tcW w:w="3742" w:type="dxa"/>
            <w:noWrap w:val="0"/>
            <w:vAlign w:val="center"/>
          </w:tcPr>
          <w:p>
            <w:pPr>
              <w:ind w:left="-68" w:leftChars="-33" w:right="-108" w:hanging="1"/>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崩解时限测定仪</w:t>
            </w:r>
          </w:p>
        </w:tc>
        <w:tc>
          <w:tcPr>
            <w:tcW w:w="924" w:type="dxa"/>
            <w:noWrap w:val="0"/>
            <w:vAlign w:val="top"/>
          </w:tcPr>
          <w:p>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42</w:t>
            </w:r>
          </w:p>
        </w:tc>
        <w:tc>
          <w:tcPr>
            <w:tcW w:w="3042" w:type="dxa"/>
            <w:noWrap w:val="0"/>
            <w:vAlign w:val="top"/>
          </w:tcPr>
          <w:p>
            <w:pPr>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炒药机</w:t>
            </w:r>
          </w:p>
        </w:tc>
      </w:tr>
    </w:tbl>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2．实习、见习</w:t>
      </w:r>
    </w:p>
    <w:p>
      <w:pPr>
        <w:spacing w:line="500" w:lineRule="exact"/>
        <w:ind w:firstLine="480" w:firstLineChars="200"/>
        <w:rPr>
          <w:rFonts w:hint="eastAsia" w:ascii="宋体" w:hAnsi="宋体" w:eastAsia="宋体" w:cs="仿宋_GB2312"/>
          <w:color w:val="auto"/>
          <w:kern w:val="0"/>
          <w:sz w:val="24"/>
          <w:szCs w:val="24"/>
          <w:highlight w:val="none"/>
          <w:lang w:val="zh-CN"/>
        </w:rPr>
      </w:pPr>
      <w:r>
        <w:rPr>
          <w:rFonts w:hint="eastAsia" w:ascii="宋体" w:hAnsi="宋体" w:eastAsia="宋体" w:cs="Times New Roman"/>
          <w:color w:val="auto"/>
          <w:sz w:val="24"/>
          <w:szCs w:val="24"/>
          <w:highlight w:val="none"/>
        </w:rPr>
        <w:t>有长期、稳定的教学实训和毕业实习医院（二甲以上）、药厂、医药公司32间，均签订有协议，制定完善的实习制度并建立专门机构（实习办公室）管理实习，</w:t>
      </w:r>
      <w:r>
        <w:rPr>
          <w:rFonts w:hint="eastAsia" w:ascii="宋体" w:hAnsi="宋体" w:eastAsia="宋体" w:cs="仿宋_GB2312"/>
          <w:color w:val="auto"/>
          <w:kern w:val="0"/>
          <w:sz w:val="24"/>
          <w:szCs w:val="24"/>
          <w:highlight w:val="none"/>
          <w:lang w:val="zh-CN"/>
        </w:rPr>
        <w:t>第五、六、九、十学期</w:t>
      </w:r>
      <w:r>
        <w:rPr>
          <w:rFonts w:hint="eastAsia" w:ascii="宋体" w:hAnsi="宋体" w:eastAsia="宋体" w:cs="Times New Roman"/>
          <w:color w:val="auto"/>
          <w:sz w:val="24"/>
          <w:szCs w:val="24"/>
          <w:highlight w:val="none"/>
        </w:rPr>
        <w:t>，安排学生在</w:t>
      </w:r>
      <w:r>
        <w:rPr>
          <w:rFonts w:hint="eastAsia" w:ascii="宋体" w:hAnsi="宋体" w:eastAsia="宋体" w:cs="仿宋_GB2312"/>
          <w:color w:val="auto"/>
          <w:kern w:val="0"/>
          <w:sz w:val="24"/>
          <w:szCs w:val="24"/>
          <w:highlight w:val="none"/>
          <w:lang w:val="zh-CN"/>
        </w:rPr>
        <w:t>医药公司、药品生产企业、中药饮片厂、医院药剂室、药品检验部门等技术岗位实习，满足中药学专业学生毕业实习的需要。</w:t>
      </w:r>
    </w:p>
    <w:p>
      <w:pPr>
        <w:spacing w:line="500" w:lineRule="exact"/>
        <w:ind w:firstLine="361" w:firstLineChars="15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（三）教学资源</w:t>
      </w:r>
    </w:p>
    <w:p>
      <w:pPr>
        <w:spacing w:line="480" w:lineRule="exact"/>
        <w:ind w:firstLine="470" w:firstLineChars="196"/>
        <w:rPr>
          <w:rFonts w:hint="eastAsia" w:ascii="宋体" w:hAnsi="宋体" w:eastAsia="宋体" w:cs="Times New Roman"/>
          <w:color w:val="auto"/>
          <w:sz w:val="24"/>
          <w:szCs w:val="24"/>
          <w:highlight w:val="none"/>
        </w:rPr>
      </w:pPr>
      <w:r>
        <w:rPr>
          <w:rFonts w:hint="eastAsia" w:ascii="宋体" w:hAnsi="宋体" w:eastAsia="宋体" w:cs="仿宋_GB2312"/>
          <w:color w:val="auto"/>
          <w:kern w:val="0"/>
          <w:sz w:val="24"/>
          <w:szCs w:val="24"/>
          <w:highlight w:val="none"/>
          <w:lang w:val="zh-CN"/>
        </w:rPr>
        <w:t>已建成中药学网络教学课程平台蓝墨云班，建成了中药学专业教学资源库，</w:t>
      </w:r>
      <w:r>
        <w:rPr>
          <w:rFonts w:hint="eastAsia" w:ascii="宋体" w:hAnsi="宋体" w:eastAsia="宋体" w:cs="Times New Roman"/>
          <w:color w:val="auto"/>
          <w:sz w:val="24"/>
          <w:szCs w:val="24"/>
          <w:highlight w:val="none"/>
        </w:rPr>
        <w:t>内含省级精品开放课程和校级精品开放课程，制定各门课程标准、专业课程校企合作开发的实训指导及制定各门课程试题库、习题库的建设等。</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（四）教学方法</w:t>
      </w:r>
    </w:p>
    <w:p>
      <w:pPr>
        <w:spacing w:line="500" w:lineRule="exact"/>
        <w:ind w:firstLine="482" w:firstLineChars="200"/>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 xml:space="preserve"> </w:t>
      </w:r>
      <w:r>
        <w:rPr>
          <w:rFonts w:hint="eastAsia" w:ascii="宋体" w:hAnsi="宋体" w:eastAsia="宋体" w:cs="Times New Roman"/>
          <w:color w:val="auto"/>
          <w:sz w:val="24"/>
          <w:szCs w:val="24"/>
          <w:highlight w:val="none"/>
        </w:rPr>
        <w:t>本专业教师根据高职教育和医药行业的特点，充分利用校内现有的中药实训室及模拟药房、医药公司、零售药店、医院药房及制剂室、药品生产企业、中药饮片厂等校内外实训基地，联合多种教学方法，提倡模式多样化，有助于提高学生的学习兴趣。具体教学过程中大量采用项目教学法、反问式教学法、直观教学法、讨论式教学法、小组技术比拼、仿真技能训练、情景教学等方法，融“教、学、做”为一体，取得了很好的效果，现已形成明显特色的教学方法有：</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项目教学法：教师布置项目任务→引导学生学习必要的相关知识→学生查阅资料→完成设计方案→教师指导下实施方案并进行考核→整理记录和完成实训报告→综合考核和评分，学生通过查阅资料、设计实施方案，提高了自主学习的能力和积极性。</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反问式教学法:对复杂问题或特殊问题，需要引起学生注意或广开思路时，可用反问式。不仅解决教材中的疑难点，而且还能促使学生自觉地集中注意力，积极进行思考，帮助学生加强记忆，从而提高教学效率。</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(3)直观教学法：定期开放中药标本室、药植园，并在每个教学班中均放有中药饮片标本。通过对中药材及饮片的直观认识，如见其人，如临其境。每一味中药在学生头脑中已经不再是一个空洞的药名，而是有实际概念，构成感性形象的实体。有利于提高学生的学习兴趣，并能使学生在学习理论知识的同时，增强感性认识，便于学生对中药知识的理解和掌握。</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（4）讨论式教学法：讨论题要有一定难度，需要进行推导、联系。这种方法目的是培养学生的理解、分析和自学能力，对于活跃同学思维、广开思路、启发兴趣、开发智力、培养能力颇有好处。</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（5）仿真技能训练：即一些专业课程可以在中药炮制室、模拟药房等仿真实训室中进行，教师“边讲边演示”，学生“边学边练”，“教、学、做”为一体，有效地提高了专业技能训练的效果。</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小组技术比拼法：有些教学内容如中药调剂、中药鉴定可采用小组技术比拼法进行教学，学生以小组为单位，进行方案设计、材料准备、操作演练，小组解说，老师点评，得出比拼结果。通过比拼加强了团队协作及与人沟通的能力，启迪了学生的思维，强化了职业技能，取得了良好的教学效果。</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情景教学法：部分专业课程组织学生到行业企业进行现场教学，行业企业专家在真实的工作情景中边讲、边示范，学生边听边实操，使学生置身真实的工作环境中学习，提高了学生对行业企业的认识，激发了他们学习的兴趣，也有效地提高了学生的专业技能。</w:t>
      </w:r>
    </w:p>
    <w:p>
      <w:pPr>
        <w:adjustRightInd w:val="0"/>
        <w:snapToGrid w:val="0"/>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（8）专题讲座及授课：邀请行业一线工作人员，对师生进行专业知识、技术新进展、职业素养培养等问题的专题讲座，增强学生的学习兴趣，调动学习积极性培养综合素质和能力。</w:t>
      </w:r>
    </w:p>
    <w:p>
      <w:pPr>
        <w:spacing w:line="500" w:lineRule="exact"/>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（五）教学评价</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课程考核：将各课程考核方式分为两部分，一是形成性考核，占科目总成绩的40%，包括：平时作业、课堂考勤、学习态度、平时理论和技能考核等；二是终结性考核，占科目总成绩的60%，包括：期末理论考核、期末技能考核。</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2.实习考核：以实习单位为主，主要考核学生实习中的岗位职业能力、职业态度、团结协作、人际沟通能力等。</w:t>
      </w:r>
    </w:p>
    <w:p>
      <w:pPr>
        <w:spacing w:line="500" w:lineRule="exact"/>
        <w:ind w:firstLine="480" w:firstLineChars="200"/>
        <w:rPr>
          <w:rFonts w:hint="eastAsia" w:ascii="宋体" w:hAnsi="宋体" w:eastAsia="宋体" w:cs="Times New Roman"/>
          <w:b/>
          <w:color w:val="auto"/>
          <w:sz w:val="24"/>
          <w:szCs w:val="24"/>
          <w:highlight w:val="none"/>
        </w:rPr>
      </w:pPr>
      <w:r>
        <w:rPr>
          <w:rFonts w:hint="eastAsia" w:ascii="宋体" w:hAnsi="宋体" w:eastAsia="宋体" w:cs="Times New Roman"/>
          <w:color w:val="auto"/>
          <w:sz w:val="24"/>
          <w:szCs w:val="24"/>
          <w:highlight w:val="none"/>
        </w:rPr>
        <w:t>3.评价：建立了较完善的教学质量保证和监控机制，教学秩序良好。通过巡课、听课、召开师生座谈会、教师评学、学生评教等活动，采取学生、同行、督导小组三层次评教，形成了科学的评教运行机制。</w:t>
      </w:r>
    </w:p>
    <w:p>
      <w:pPr>
        <w:spacing w:line="500" w:lineRule="exact"/>
        <w:ind w:firstLine="472" w:firstLineChars="19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（六）质量管理</w:t>
      </w:r>
    </w:p>
    <w:p>
      <w:pPr>
        <w:adjustRightInd w:val="0"/>
        <w:snapToGrid w:val="0"/>
        <w:spacing w:line="50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教学管理要更新观念，为课程改革、教与学实施创造条件；要加强对教学过程的质量监控，促进教师教学能力的提升，保证教学质量。</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1．成立由行业专家、职业教育专家、教师及教学管理人员组成的专业建设和教学指导委员会，进行整体教育教学指导。</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教学管理工作应在规范性与灵活性的原则下，结合学校实际教学资源，体现专业特点，保证“教学做”三者相结合，提高教学效果。为实现学生的早接触实际工作、多接触实际工作，应合理安排课程，调配教师，组织与管理好教学，提高校内实训室课内外的使用效率，积极与校外实训基地协调合作，完成见习、实习计划。</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3．聘请中级以上职称的行业专家参与课程建设与教学活动，共同保证本标准的实施质量。</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4．建立教学质量监控与教科研体系，设立教学督导与教研管理机构，</w:t>
      </w:r>
      <w:r>
        <w:rPr>
          <w:rFonts w:ascii="宋体" w:hAnsi="宋体" w:eastAsia="宋体" w:cs="Times New Roman"/>
          <w:color w:val="auto"/>
          <w:sz w:val="24"/>
          <w:szCs w:val="24"/>
          <w:highlight w:val="none"/>
        </w:rPr>
        <w:t>加强对教学过程的质量监控，改革教学评价的标准和方法，</w:t>
      </w:r>
      <w:r>
        <w:rPr>
          <w:rFonts w:hint="eastAsia" w:ascii="宋体" w:hAnsi="宋体" w:eastAsia="宋体" w:cs="Times New Roman"/>
          <w:color w:val="auto"/>
          <w:sz w:val="24"/>
          <w:szCs w:val="24"/>
          <w:highlight w:val="none"/>
        </w:rPr>
        <w:t>针对教学过程中的问题进行探索和研究，</w:t>
      </w:r>
      <w:r>
        <w:rPr>
          <w:rFonts w:ascii="宋体" w:hAnsi="宋体" w:eastAsia="宋体" w:cs="Times New Roman"/>
          <w:color w:val="auto"/>
          <w:sz w:val="24"/>
          <w:szCs w:val="24"/>
          <w:highlight w:val="none"/>
        </w:rPr>
        <w:t>促进教师教学能力</w:t>
      </w:r>
      <w:r>
        <w:rPr>
          <w:rFonts w:hint="eastAsia" w:ascii="宋体" w:hAnsi="宋体" w:eastAsia="宋体" w:cs="Times New Roman"/>
          <w:color w:val="auto"/>
          <w:sz w:val="24"/>
          <w:szCs w:val="24"/>
          <w:highlight w:val="none"/>
        </w:rPr>
        <w:t>和科研水平</w:t>
      </w:r>
      <w:r>
        <w:rPr>
          <w:rFonts w:ascii="宋体" w:hAnsi="宋体" w:eastAsia="宋体" w:cs="Times New Roman"/>
          <w:color w:val="auto"/>
          <w:sz w:val="24"/>
          <w:szCs w:val="24"/>
          <w:highlight w:val="none"/>
        </w:rPr>
        <w:t>的提升，保证教学质量。</w:t>
      </w:r>
    </w:p>
    <w:p>
      <w:pPr>
        <w:spacing w:line="480" w:lineRule="exact"/>
        <w:ind w:firstLine="472" w:firstLineChars="19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十二、毕业实习（跟岗实习+顶岗实习）</w:t>
      </w:r>
    </w:p>
    <w:p>
      <w:pPr>
        <w:spacing w:line="500" w:lineRule="exact"/>
        <w:ind w:firstLine="560"/>
        <w:jc w:val="left"/>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实习是实践教学的主要形式之一，是执行教学计划和课程大纲的关键环节。通过实习，培养学生良好的职业道德和职业能力，使学生具备就业所必需的能力和经历。实习中应有良好的交流、沟通能力，团队合作精神和良好的服务意识，达到专业培养目标的要求。</w:t>
      </w:r>
    </w:p>
    <w:p>
      <w:pPr>
        <w:spacing w:line="500" w:lineRule="exact"/>
        <w:ind w:firstLine="562"/>
        <w:jc w:val="left"/>
        <w:rPr>
          <w:rFonts w:hint="eastAsia" w:ascii="宋体" w:hAnsi="宋体" w:eastAsia="宋体" w:cs="Times New Roman"/>
          <w:bCs/>
          <w:color w:val="auto"/>
          <w:sz w:val="24"/>
          <w:szCs w:val="24"/>
          <w:highlight w:val="none"/>
        </w:rPr>
      </w:pPr>
      <w:r>
        <w:rPr>
          <w:rFonts w:hint="eastAsia" w:ascii="宋体" w:hAnsi="宋体" w:eastAsia="宋体" w:cs="Times New Roman"/>
          <w:b/>
          <w:bCs/>
          <w:color w:val="auto"/>
          <w:sz w:val="24"/>
          <w:szCs w:val="24"/>
          <w:highlight w:val="none"/>
        </w:rPr>
        <w:t>（一）时间分配：</w:t>
      </w:r>
      <w:r>
        <w:rPr>
          <w:rFonts w:hint="eastAsia" w:ascii="宋体" w:hAnsi="宋体" w:eastAsia="宋体" w:cs="Times New Roman"/>
          <w:bCs/>
          <w:color w:val="auto"/>
          <w:sz w:val="24"/>
          <w:szCs w:val="24"/>
          <w:highlight w:val="none"/>
        </w:rPr>
        <w:t>安排在第五、六、九、十学期进行，共80周。</w:t>
      </w:r>
    </w:p>
    <w:p>
      <w:pPr>
        <w:spacing w:line="500" w:lineRule="exact"/>
        <w:ind w:firstLine="562"/>
        <w:jc w:val="left"/>
        <w:rPr>
          <w:rFonts w:hint="eastAsia" w:ascii="宋体" w:hAnsi="宋体" w:eastAsia="宋体" w:cs="宋体"/>
          <w:bCs/>
          <w:color w:val="auto"/>
          <w:kern w:val="0"/>
          <w:sz w:val="24"/>
          <w:szCs w:val="24"/>
          <w:highlight w:val="none"/>
        </w:rPr>
      </w:pPr>
      <w:r>
        <w:rPr>
          <w:rFonts w:hint="eastAsia" w:ascii="宋体" w:hAnsi="宋体" w:eastAsia="宋体" w:cs="Times New Roman"/>
          <w:b/>
          <w:bCs/>
          <w:color w:val="auto"/>
          <w:sz w:val="24"/>
          <w:szCs w:val="24"/>
          <w:highlight w:val="none"/>
        </w:rPr>
        <w:t>（二）实习内容与要求：</w:t>
      </w:r>
    </w:p>
    <w:p>
      <w:pPr>
        <w:spacing w:line="50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中职第三学年和高职第二年安排实习，实习计划、大纲及要求由学校与实习单位共同编制，主要由实习单位组织实施和日常管理，学校聘请实习单位中具有中级或以上职称专业技术人员带教，学校教师定期到实习单位看望学生，了解学习、生活情况，及时给予指导和帮助，并与单位教学管理部门沟通，及时调整实习安排，以提高实习效果，保证实习质量。</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Times New Roman"/>
          <w:color w:val="auto"/>
          <w:sz w:val="24"/>
          <w:szCs w:val="24"/>
          <w:highlight w:val="none"/>
        </w:rPr>
        <w:t>中职第三学年实习</w:t>
      </w:r>
      <w:r>
        <w:rPr>
          <w:rFonts w:hint="eastAsia" w:ascii="宋体" w:hAnsi="宋体" w:eastAsia="宋体" w:cs="宋体"/>
          <w:color w:val="auto"/>
          <w:sz w:val="24"/>
          <w:highlight w:val="none"/>
        </w:rPr>
        <w:t>共40周，其中跟岗实习16周、顶岗实习24周。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跟岗实习16周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医药公司：门店管理岗位8周 ，药品采购4周，药库管理4周；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药厂：中药提取生产岗位4周，固体制剂生产与管理岗位4周，药品质量管理岗位4周，药品研发岗位4周；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医院药剂科：药房药品调剂与管理岗位8周，药库管理8周</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 xml:space="preserve">     </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中药饮片厂：中药前处理与中药切制4周，中药炮制加工8周，包装4周。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顶岗实习24周：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医药公司：门店管理岗位8周，药品采购8周，药库管理8周；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药厂：中药提取生产岗位4周，固体制剂生产与管理岗位12周，药品质量管理岗位4周，药品研发岗位4周；</w:t>
      </w:r>
    </w:p>
    <w:p>
      <w:pPr>
        <w:pStyle w:val="7"/>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医院药剂科：药房药品调剂与管理12周，药库管理岗位12周</w:t>
      </w:r>
      <w:r>
        <w:rPr>
          <w:rFonts w:hint="eastAsia" w:ascii="宋体" w:hAnsi="宋体" w:eastAsia="宋体" w:cs="宋体"/>
          <w:color w:val="auto"/>
          <w:sz w:val="24"/>
          <w:highlight w:val="none"/>
          <w:lang w:val="en-US" w:eastAsia="zh-CN"/>
        </w:rPr>
        <w:t>；</w:t>
      </w:r>
    </w:p>
    <w:p>
      <w:pPr>
        <w:spacing w:line="500" w:lineRule="exact"/>
        <w:ind w:firstLine="560"/>
        <w:jc w:val="left"/>
        <w:rPr>
          <w:rFonts w:hint="eastAsia" w:ascii="宋体" w:hAnsi="宋体" w:eastAsia="宋体" w:cs="Times New Roman"/>
          <w:bCs/>
          <w:color w:val="auto"/>
          <w:sz w:val="24"/>
          <w:szCs w:val="24"/>
          <w:highlight w:val="none"/>
        </w:rPr>
      </w:pPr>
      <w:r>
        <w:rPr>
          <w:rFonts w:hint="eastAsia" w:ascii="宋体" w:hAnsi="宋体" w:eastAsia="宋体" w:cs="宋体"/>
          <w:color w:val="auto"/>
          <w:sz w:val="24"/>
          <w:highlight w:val="none"/>
        </w:rPr>
        <w:t>中药饮片厂：中药前处理与中药切制8周，中药炮制加工8周，包装4周，药品生产与质量管理岗位4周。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Times New Roman"/>
          <w:bCs/>
          <w:color w:val="auto"/>
          <w:sz w:val="24"/>
          <w:szCs w:val="24"/>
          <w:highlight w:val="none"/>
        </w:rPr>
        <w:t>高职第二年实习</w:t>
      </w:r>
      <w:r>
        <w:rPr>
          <w:rFonts w:hint="eastAsia" w:ascii="宋体" w:hAnsi="宋体" w:eastAsia="宋体" w:cs="宋体"/>
          <w:color w:val="auto"/>
          <w:sz w:val="24"/>
          <w:highlight w:val="none"/>
        </w:rPr>
        <w:t>共40周，其中跟岗实习16周、顶岗实习24周。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跟岗实习16周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医药公司：门店管理岗位8周 ，药品采购4周，药库管理4周；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药厂：中药提取生产岗位4周，固体制剂生产与管理岗位4周，药品质量管理岗位4周，药品研发岗位4周；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医院药剂科：药房药品调剂与管理岗位8周，药库管理8周</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 xml:space="preserve">     </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中药饮片厂：中药前处理与中药切制4周，中药炮制加工8周，包装4周。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顶岗实习24周：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医药公司：门店管理岗位8周，药品采购8周，药库管理8周；</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药厂：中药提取生产岗位4周，固体制剂生产与管理岗位12周，药品质量管理岗位4周，药品研发岗位4周；</w:t>
      </w:r>
    </w:p>
    <w:p>
      <w:pPr>
        <w:pStyle w:val="7"/>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医院药剂科：药房药品调剂与管理12周，药库管理岗位12周</w:t>
      </w:r>
      <w:r>
        <w:rPr>
          <w:rFonts w:hint="eastAsia" w:ascii="宋体" w:hAnsi="宋体" w:eastAsia="宋体" w:cs="宋体"/>
          <w:color w:val="auto"/>
          <w:sz w:val="24"/>
          <w:highlight w:val="none"/>
          <w:lang w:val="en-US" w:eastAsia="zh-CN"/>
        </w:rPr>
        <w:t>；</w:t>
      </w:r>
    </w:p>
    <w:p>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中药饮片厂：中药前处理与中药切制8周，中药炮制加工8周，包装4周，药品生产与质量管理岗位4周。</w:t>
      </w:r>
    </w:p>
    <w:p>
      <w:pPr>
        <w:pStyle w:val="7"/>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以上可以根据就业岗位调整。</w:t>
      </w:r>
    </w:p>
    <w:p>
      <w:pPr>
        <w:rPr>
          <w:rFonts w:hint="eastAsia" w:ascii="宋体" w:hAnsi="宋体" w:eastAsia="宋体" w:cs="Times New Roman"/>
          <w:b/>
          <w:color w:val="auto"/>
          <w:sz w:val="24"/>
          <w:szCs w:val="24"/>
          <w:highlight w:val="none"/>
        </w:rPr>
      </w:pPr>
    </w:p>
    <w:p>
      <w:pPr>
        <w:rPr>
          <w:rFonts w:hint="eastAsia" w:ascii="宋体" w:hAnsi="宋体" w:eastAsia="宋体" w:cs="Times New Roman"/>
          <w:b/>
          <w:color w:val="auto"/>
          <w:sz w:val="24"/>
          <w:szCs w:val="24"/>
          <w:highlight w:val="none"/>
        </w:rPr>
      </w:pPr>
    </w:p>
    <w:p>
      <w:pP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附件：教学进程表及说明</w:t>
      </w:r>
    </w:p>
    <w:p>
      <w:pPr>
        <w:rPr>
          <w:rFonts w:hint="eastAsia" w:ascii="宋体" w:hAnsi="宋体" w:eastAsia="宋体" w:cs="Times New Roman"/>
          <w:b/>
          <w:color w:val="auto"/>
          <w:sz w:val="24"/>
          <w:szCs w:val="24"/>
          <w:highlight w:val="none"/>
          <w:lang w:eastAsia="zh-CN"/>
        </w:rPr>
      </w:pPr>
      <w:r>
        <w:drawing>
          <wp:inline distT="0" distB="0" distL="114300" distR="114300">
            <wp:extent cx="5267960" cy="8309610"/>
            <wp:effectExtent l="0" t="0" r="889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7960" cy="8309610"/>
                    </a:xfrm>
                    <a:prstGeom prst="rect">
                      <a:avLst/>
                    </a:prstGeom>
                    <a:noFill/>
                    <a:ln>
                      <a:noFill/>
                    </a:ln>
                  </pic:spPr>
                </pic:pic>
              </a:graphicData>
            </a:graphic>
          </wp:inline>
        </w:drawing>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626CE"/>
    <w:multiLevelType w:val="multilevel"/>
    <w:tmpl w:val="259626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E241D1"/>
    <w:rsid w:val="2D0770C8"/>
    <w:rsid w:val="41B47463"/>
    <w:rsid w:val="51EB4ED3"/>
    <w:rsid w:val="703A4D7D"/>
    <w:rsid w:val="711F1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Indent"/>
    <w:qFormat/>
    <w:uiPriority w:val="0"/>
    <w:pPr>
      <w:widowControl w:val="0"/>
      <w:spacing w:after="120"/>
      <w:ind w:left="420" w:leftChars="200"/>
      <w:jc w:val="both"/>
    </w:pPr>
    <w:rPr>
      <w:rFonts w:ascii="Times New Roman" w:hAnsi="Times New Roman" w:eastAsia="宋体" w:cs="Times New Roman"/>
      <w:kern w:val="2"/>
      <w:sz w:val="24"/>
      <w:szCs w:val="24"/>
      <w:lang w:val="en-US" w:eastAsia="zh-CN" w:bidi="ar-SA"/>
    </w:rPr>
  </w:style>
  <w:style w:type="paragraph" w:styleId="5">
    <w:name w:val="List Paragraph"/>
    <w:qFormat/>
    <w:uiPriority w:val="34"/>
    <w:pPr>
      <w:widowControl w:val="0"/>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6">
    <w:name w:val="小正文"/>
    <w:qFormat/>
    <w:uiPriority w:val="0"/>
    <w:pPr>
      <w:widowControl w:val="0"/>
      <w:ind w:firstLine="560" w:firstLineChars="200"/>
      <w:jc w:val="left"/>
    </w:pPr>
    <w:rPr>
      <w:rFonts w:ascii="宋体" w:hAnsi="宋体" w:eastAsia="宋体" w:cs="Times New Roman"/>
      <w:bCs/>
      <w:kern w:val="2"/>
      <w:sz w:val="28"/>
      <w:szCs w:val="28"/>
      <w:lang w:val="en-US" w:eastAsia="zh-CN" w:bidi="ar-SA"/>
    </w:rPr>
  </w:style>
  <w:style w:type="paragraph" w:customStyle="1" w:styleId="7">
    <w:name w:val="正文2"/>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2021-05-18T07:20:00Z</dcterms:created>
  <dc:creator>Administrator</dc:creator>
  <cp:lastModifiedBy>常陆林</cp:lastModifiedBy>
  <dcterms:modified xsi:type="dcterms:W3CDTF">2021-08-30T03:37:59Z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72F5C2F6ECB44C5FB23C1EBB2C4CA1A1</vt:lpwstr>
  </property>
</Properties>
</file>